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12" w:rsidRDefault="0003775E" w:rsidP="00051D9A">
      <w:pPr>
        <w:pStyle w:val="Etykietadokumentu"/>
        <w:tabs>
          <w:tab w:val="left" w:pos="540"/>
          <w:tab w:val="center" w:pos="4819"/>
        </w:tabs>
        <w:spacing w:after="0" w:line="240" w:lineRule="auto"/>
        <w:rPr>
          <w:rFonts w:ascii="Arial" w:hAnsi="Arial" w:cs="Arial"/>
          <w:b w:val="0"/>
          <w:i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ustalenia z ROBOCZEGO </w:t>
      </w:r>
      <w:r w:rsidR="00573E43">
        <w:rPr>
          <w:rFonts w:ascii="Arial" w:hAnsi="Arial" w:cs="Arial"/>
          <w:spacing w:val="4"/>
          <w:sz w:val="20"/>
        </w:rPr>
        <w:t>spotkania</w:t>
      </w:r>
      <w:r w:rsidR="0057744E">
        <w:rPr>
          <w:rFonts w:ascii="Arial" w:hAnsi="Arial" w:cs="Arial"/>
          <w:spacing w:val="4"/>
          <w:sz w:val="20"/>
        </w:rPr>
        <w:t xml:space="preserve"> zespołu doradczego ds. przewozu towarów niebezpiecznych </w:t>
      </w:r>
    </w:p>
    <w:p w:rsidR="00763A12" w:rsidRDefault="00763A12" w:rsidP="00051D9A">
      <w:pPr>
        <w:pStyle w:val="Nagwekwiadomoci-pierwszy"/>
        <w:spacing w:before="0" w:after="0" w:line="240" w:lineRule="auto"/>
        <w:ind w:left="1440" w:hanging="1440"/>
        <w:jc w:val="both"/>
        <w:rPr>
          <w:rStyle w:val="Nagwekwiadomoci-etykieta"/>
          <w:rFonts w:ascii="Arial" w:hAnsi="Arial" w:cs="Arial"/>
          <w:b w:val="0"/>
          <w:caps w:val="0"/>
          <w:color w:val="000000"/>
          <w:spacing w:val="4"/>
          <w:sz w:val="20"/>
        </w:rPr>
      </w:pPr>
      <w:r>
        <w:rPr>
          <w:rStyle w:val="Nagwekwiadomoci-etykieta"/>
          <w:rFonts w:ascii="Arial" w:hAnsi="Arial" w:cs="Arial"/>
          <w:color w:val="000000"/>
          <w:spacing w:val="4"/>
          <w:sz w:val="20"/>
        </w:rPr>
        <w:t>DATA:</w:t>
      </w:r>
      <w:r w:rsidR="001C1F03">
        <w:rPr>
          <w:rStyle w:val="Nagwekwiadomoci-etykieta"/>
          <w:rFonts w:ascii="Arial" w:hAnsi="Arial" w:cs="Arial"/>
          <w:color w:val="000000"/>
          <w:spacing w:val="4"/>
          <w:sz w:val="20"/>
        </w:rPr>
        <w:t xml:space="preserve"> </w:t>
      </w:r>
      <w:r w:rsidR="00573E43">
        <w:rPr>
          <w:rStyle w:val="Nagwekwiadomoci-etykieta"/>
          <w:rFonts w:ascii="Arial" w:hAnsi="Arial" w:cs="Arial"/>
          <w:b w:val="0"/>
          <w:color w:val="000000"/>
          <w:spacing w:val="4"/>
          <w:sz w:val="20"/>
        </w:rPr>
        <w:t>18.03</w:t>
      </w:r>
      <w:r w:rsidR="001F6D9B">
        <w:rPr>
          <w:rStyle w:val="Nagwekwiadomoci-etykieta"/>
          <w:rFonts w:ascii="Arial" w:hAnsi="Arial" w:cs="Arial"/>
          <w:b w:val="0"/>
          <w:color w:val="000000"/>
          <w:spacing w:val="4"/>
          <w:sz w:val="20"/>
        </w:rPr>
        <w:t>.202</w:t>
      </w:r>
      <w:r w:rsidR="00573E43">
        <w:rPr>
          <w:rStyle w:val="Nagwekwiadomoci-etykieta"/>
          <w:rFonts w:ascii="Arial" w:hAnsi="Arial" w:cs="Arial"/>
          <w:b w:val="0"/>
          <w:color w:val="000000"/>
          <w:spacing w:val="4"/>
          <w:sz w:val="20"/>
        </w:rPr>
        <w:t>1</w:t>
      </w:r>
      <w:r w:rsidR="001C1F03" w:rsidRPr="001C1F03">
        <w:rPr>
          <w:rStyle w:val="Nagwekwiadomoci-etykieta"/>
          <w:rFonts w:ascii="Arial" w:hAnsi="Arial" w:cs="Arial"/>
          <w:b w:val="0"/>
          <w:color w:val="000000"/>
          <w:spacing w:val="4"/>
          <w:sz w:val="20"/>
        </w:rPr>
        <w:t xml:space="preserve"> </w:t>
      </w:r>
      <w:r w:rsidR="001C1F03" w:rsidRPr="001C1F03">
        <w:rPr>
          <w:rStyle w:val="Nagwekwiadomoci-etykieta"/>
          <w:rFonts w:ascii="Arial" w:hAnsi="Arial" w:cs="Arial"/>
          <w:b w:val="0"/>
          <w:caps w:val="0"/>
          <w:color w:val="000000"/>
          <w:spacing w:val="4"/>
          <w:sz w:val="20"/>
        </w:rPr>
        <w:t>r.</w:t>
      </w:r>
    </w:p>
    <w:p w:rsidR="00B277EA" w:rsidRPr="001C1F03" w:rsidRDefault="00B277EA" w:rsidP="00051D9A">
      <w:pPr>
        <w:pStyle w:val="Nagwekwiadomoci-pierwszy"/>
        <w:spacing w:before="0" w:after="0" w:line="240" w:lineRule="auto"/>
        <w:ind w:left="1440" w:hanging="1440"/>
        <w:jc w:val="both"/>
        <w:rPr>
          <w:rFonts w:ascii="Arial" w:hAnsi="Arial" w:cs="Arial"/>
          <w:b/>
          <w:color w:val="000000"/>
          <w:spacing w:val="4"/>
          <w:sz w:val="20"/>
        </w:rPr>
      </w:pPr>
    </w:p>
    <w:p w:rsidR="00763A12" w:rsidRDefault="00763A12" w:rsidP="00051D9A">
      <w:pPr>
        <w:pBdr>
          <w:bottom w:val="single" w:sz="4" w:space="1" w:color="auto"/>
        </w:pBdr>
        <w:spacing w:after="0" w:line="240" w:lineRule="auto"/>
        <w:ind w:left="851" w:hanging="851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Style w:val="Nagwekwiadomoci-etykieta"/>
          <w:rFonts w:ascii="Arial" w:hAnsi="Arial" w:cs="Arial"/>
          <w:spacing w:val="4"/>
          <w:sz w:val="20"/>
        </w:rPr>
        <w:t>TEMAT:</w:t>
      </w:r>
      <w:r w:rsidR="001C1F03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B63F0C">
        <w:rPr>
          <w:rFonts w:ascii="Arial" w:hAnsi="Arial" w:cs="Arial"/>
          <w:color w:val="000000"/>
          <w:spacing w:val="4"/>
          <w:sz w:val="20"/>
          <w:szCs w:val="20"/>
        </w:rPr>
        <w:t xml:space="preserve">Robocze </w:t>
      </w:r>
      <w:r w:rsidR="0003775E">
        <w:rPr>
          <w:rFonts w:ascii="Arial" w:hAnsi="Arial" w:cs="Arial"/>
          <w:color w:val="000000"/>
          <w:spacing w:val="4"/>
          <w:sz w:val="20"/>
          <w:szCs w:val="20"/>
        </w:rPr>
        <w:t>spotkanie</w:t>
      </w:r>
      <w:r w:rsidR="001C1F03">
        <w:rPr>
          <w:rFonts w:ascii="Arial" w:hAnsi="Arial" w:cs="Arial"/>
          <w:color w:val="000000"/>
          <w:spacing w:val="4"/>
          <w:sz w:val="20"/>
          <w:szCs w:val="20"/>
        </w:rPr>
        <w:t xml:space="preserve"> zespołu </w:t>
      </w:r>
      <w:r w:rsidR="001C1F03" w:rsidRPr="001C1F03">
        <w:rPr>
          <w:rFonts w:ascii="Arial" w:hAnsi="Arial" w:cs="Arial"/>
          <w:color w:val="000000"/>
          <w:spacing w:val="4"/>
          <w:sz w:val="20"/>
          <w:szCs w:val="20"/>
        </w:rPr>
        <w:t>doradczego ds. przewozu towarów niebezpiecznych</w:t>
      </w:r>
      <w:r w:rsidR="001C1F03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8D022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573E43">
        <w:rPr>
          <w:rFonts w:ascii="Arial" w:hAnsi="Arial" w:cs="Arial"/>
          <w:color w:val="000000"/>
          <w:spacing w:val="4"/>
          <w:sz w:val="20"/>
          <w:szCs w:val="20"/>
        </w:rPr>
        <w:t>16</w:t>
      </w:r>
      <w:r w:rsidR="001C1F03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573E43">
        <w:rPr>
          <w:rFonts w:ascii="Arial" w:hAnsi="Arial" w:cs="Arial"/>
          <w:color w:val="000000"/>
          <w:spacing w:val="4"/>
          <w:sz w:val="20"/>
          <w:szCs w:val="20"/>
        </w:rPr>
        <w:t>marca</w:t>
      </w:r>
      <w:r w:rsidR="0027046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C1F03">
        <w:rPr>
          <w:rFonts w:ascii="Arial" w:hAnsi="Arial" w:cs="Arial"/>
          <w:color w:val="000000"/>
          <w:spacing w:val="4"/>
          <w:sz w:val="20"/>
          <w:szCs w:val="20"/>
        </w:rPr>
        <w:t>20</w:t>
      </w:r>
      <w:r w:rsidR="00573E43">
        <w:rPr>
          <w:rFonts w:ascii="Arial" w:hAnsi="Arial" w:cs="Arial"/>
          <w:color w:val="000000"/>
          <w:spacing w:val="4"/>
          <w:sz w:val="20"/>
          <w:szCs w:val="20"/>
        </w:rPr>
        <w:t>21</w:t>
      </w:r>
      <w:r w:rsidR="001C1F03">
        <w:rPr>
          <w:rFonts w:ascii="Arial" w:hAnsi="Arial" w:cs="Arial"/>
          <w:color w:val="000000"/>
          <w:spacing w:val="4"/>
          <w:sz w:val="20"/>
          <w:szCs w:val="20"/>
        </w:rPr>
        <w:t xml:space="preserve"> r.</w:t>
      </w:r>
      <w:r>
        <w:rPr>
          <w:rFonts w:ascii="Arial" w:hAnsi="Arial" w:cs="Arial"/>
          <w:color w:val="000000"/>
          <w:spacing w:val="4"/>
          <w:sz w:val="20"/>
          <w:szCs w:val="20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</w:rPr>
        <w:tab/>
      </w:r>
    </w:p>
    <w:p w:rsidR="00051D9A" w:rsidRDefault="00051D9A" w:rsidP="00051D9A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051D9A" w:rsidRPr="00051D9A" w:rsidRDefault="00051D9A" w:rsidP="00051D9A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573E43" w:rsidRPr="00573E43" w:rsidRDefault="00B63F0C" w:rsidP="00573E4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Robocze </w:t>
      </w:r>
      <w:r w:rsidR="0003775E">
        <w:rPr>
          <w:rFonts w:ascii="Arial" w:hAnsi="Arial" w:cs="Arial"/>
          <w:spacing w:val="4"/>
          <w:sz w:val="20"/>
          <w:szCs w:val="20"/>
        </w:rPr>
        <w:t>spotkanie</w:t>
      </w:r>
      <w:r w:rsidR="00B0250A" w:rsidRPr="00573E43">
        <w:rPr>
          <w:rFonts w:ascii="Arial" w:hAnsi="Arial" w:cs="Arial"/>
          <w:spacing w:val="4"/>
          <w:sz w:val="20"/>
          <w:szCs w:val="20"/>
        </w:rPr>
        <w:t xml:space="preserve"> Zespołu </w:t>
      </w:r>
      <w:r w:rsidR="00BE2F06" w:rsidRPr="00573E43">
        <w:rPr>
          <w:rFonts w:ascii="Arial" w:hAnsi="Arial" w:cs="Arial"/>
          <w:spacing w:val="4"/>
          <w:sz w:val="20"/>
          <w:szCs w:val="20"/>
        </w:rPr>
        <w:t xml:space="preserve">doradczego ds. przewozu towarów niebezpiecznych </w:t>
      </w:r>
      <w:r w:rsidR="00573E43" w:rsidRPr="00573E43">
        <w:rPr>
          <w:rFonts w:ascii="Arial" w:hAnsi="Arial" w:cs="Arial"/>
          <w:spacing w:val="4"/>
          <w:sz w:val="20"/>
          <w:szCs w:val="20"/>
        </w:rPr>
        <w:t xml:space="preserve">zostało zorganizowane przez Wydział ds. Stacji Kontroli Pojazdów i Przewozów Specjalnych </w:t>
      </w:r>
      <w:r w:rsidR="00B0250A" w:rsidRPr="00573E43">
        <w:rPr>
          <w:rFonts w:ascii="Arial" w:hAnsi="Arial" w:cs="Arial"/>
          <w:spacing w:val="4"/>
          <w:sz w:val="20"/>
          <w:szCs w:val="20"/>
        </w:rPr>
        <w:t>Departament</w:t>
      </w:r>
      <w:r w:rsidR="00573E43" w:rsidRPr="00573E43">
        <w:rPr>
          <w:rFonts w:ascii="Arial" w:hAnsi="Arial" w:cs="Arial"/>
          <w:spacing w:val="4"/>
          <w:sz w:val="20"/>
          <w:szCs w:val="20"/>
        </w:rPr>
        <w:t>u</w:t>
      </w:r>
      <w:r w:rsidR="00B0250A" w:rsidRPr="00573E43">
        <w:rPr>
          <w:rFonts w:ascii="Arial" w:hAnsi="Arial" w:cs="Arial"/>
          <w:spacing w:val="4"/>
          <w:sz w:val="20"/>
          <w:szCs w:val="20"/>
        </w:rPr>
        <w:t xml:space="preserve"> Transportu Drogowego</w:t>
      </w:r>
      <w:r w:rsidR="00226CA8" w:rsidRPr="00573E43">
        <w:rPr>
          <w:rFonts w:ascii="Arial" w:hAnsi="Arial" w:cs="Arial"/>
          <w:spacing w:val="4"/>
          <w:sz w:val="20"/>
          <w:szCs w:val="20"/>
        </w:rPr>
        <w:t xml:space="preserve"> Ministerstwa Infrastruktury</w:t>
      </w:r>
      <w:r w:rsidR="00B0250A" w:rsidRPr="00573E43"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573E43" w:rsidRDefault="00573E43" w:rsidP="00573E43">
      <w:pPr>
        <w:spacing w:after="0" w:line="240" w:lineRule="auto"/>
        <w:ind w:firstLine="708"/>
        <w:jc w:val="both"/>
      </w:pPr>
      <w:r>
        <w:rPr>
          <w:rFonts w:ascii="Arial" w:hAnsi="Arial" w:cs="Arial"/>
          <w:spacing w:val="4"/>
          <w:sz w:val="20"/>
          <w:szCs w:val="20"/>
        </w:rPr>
        <w:t xml:space="preserve">Posiedzenie </w:t>
      </w:r>
      <w:r w:rsidR="00270465">
        <w:rPr>
          <w:rFonts w:ascii="Arial" w:hAnsi="Arial" w:cs="Arial"/>
          <w:spacing w:val="4"/>
          <w:sz w:val="20"/>
          <w:szCs w:val="20"/>
        </w:rPr>
        <w:t xml:space="preserve">poprowadził </w:t>
      </w:r>
      <w:r>
        <w:rPr>
          <w:rFonts w:ascii="Arial" w:hAnsi="Arial" w:cs="Arial"/>
          <w:spacing w:val="4"/>
          <w:sz w:val="20"/>
          <w:szCs w:val="20"/>
        </w:rPr>
        <w:t xml:space="preserve">Pan Maciej Bożyk - </w:t>
      </w:r>
      <w:r w:rsidR="00204881">
        <w:rPr>
          <w:rFonts w:ascii="Arial" w:hAnsi="Arial" w:cs="Arial"/>
          <w:spacing w:val="4"/>
          <w:sz w:val="20"/>
          <w:szCs w:val="20"/>
        </w:rPr>
        <w:t>N</w:t>
      </w:r>
      <w:r w:rsidR="00FC0453" w:rsidRPr="007F09E7">
        <w:rPr>
          <w:rFonts w:ascii="Arial" w:hAnsi="Arial" w:cs="Arial"/>
          <w:spacing w:val="4"/>
          <w:sz w:val="20"/>
          <w:szCs w:val="20"/>
        </w:rPr>
        <w:t xml:space="preserve">aczelnik </w:t>
      </w:r>
      <w:r>
        <w:rPr>
          <w:rFonts w:ascii="Arial" w:hAnsi="Arial" w:cs="Arial"/>
          <w:spacing w:val="4"/>
          <w:sz w:val="20"/>
          <w:szCs w:val="20"/>
        </w:rPr>
        <w:t xml:space="preserve">ww. </w:t>
      </w:r>
      <w:r w:rsidR="00FC0453" w:rsidRPr="007F09E7">
        <w:rPr>
          <w:rFonts w:ascii="Arial" w:hAnsi="Arial" w:cs="Arial"/>
          <w:spacing w:val="4"/>
          <w:sz w:val="20"/>
          <w:szCs w:val="20"/>
        </w:rPr>
        <w:t>Wydziału</w:t>
      </w:r>
      <w:r>
        <w:rPr>
          <w:rFonts w:ascii="Arial" w:hAnsi="Arial" w:cs="Arial"/>
          <w:spacing w:val="4"/>
          <w:sz w:val="20"/>
          <w:szCs w:val="20"/>
        </w:rPr>
        <w:t>.</w:t>
      </w:r>
      <w:r w:rsidR="00FC0453" w:rsidRPr="007F09E7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EF2343" w:rsidRDefault="00FC0453" w:rsidP="00573E43">
      <w:pPr>
        <w:spacing w:after="0" w:line="240" w:lineRule="auto"/>
        <w:ind w:left="708"/>
        <w:jc w:val="both"/>
        <w:rPr>
          <w:rFonts w:ascii="Arial" w:hAnsi="Arial" w:cs="Arial"/>
          <w:spacing w:val="4"/>
          <w:sz w:val="20"/>
          <w:szCs w:val="20"/>
        </w:rPr>
      </w:pPr>
      <w:r w:rsidRPr="007F09E7">
        <w:rPr>
          <w:rFonts w:ascii="Arial" w:hAnsi="Arial" w:cs="Arial"/>
          <w:spacing w:val="4"/>
          <w:sz w:val="20"/>
          <w:szCs w:val="20"/>
        </w:rPr>
        <w:t xml:space="preserve">W posiedzeniu </w:t>
      </w:r>
      <w:r w:rsidR="00A75961" w:rsidRPr="007F09E7">
        <w:rPr>
          <w:rFonts w:ascii="Arial" w:hAnsi="Arial" w:cs="Arial"/>
          <w:spacing w:val="4"/>
          <w:sz w:val="20"/>
          <w:szCs w:val="20"/>
        </w:rPr>
        <w:t>uczestniczyli</w:t>
      </w:r>
      <w:r w:rsidRPr="007F09E7">
        <w:rPr>
          <w:rFonts w:ascii="Arial" w:hAnsi="Arial" w:cs="Arial"/>
          <w:spacing w:val="4"/>
          <w:sz w:val="20"/>
          <w:szCs w:val="20"/>
        </w:rPr>
        <w:t xml:space="preserve"> przedstawiciele </w:t>
      </w:r>
      <w:r w:rsidR="00270465" w:rsidRPr="007F09E7">
        <w:rPr>
          <w:rFonts w:ascii="Arial" w:hAnsi="Arial" w:cs="Arial"/>
          <w:spacing w:val="4"/>
          <w:sz w:val="20"/>
          <w:szCs w:val="20"/>
        </w:rPr>
        <w:t>Departamentu</w:t>
      </w:r>
      <w:r w:rsidR="0057744E">
        <w:rPr>
          <w:rFonts w:ascii="Arial" w:hAnsi="Arial" w:cs="Arial"/>
          <w:spacing w:val="4"/>
          <w:sz w:val="20"/>
          <w:szCs w:val="20"/>
        </w:rPr>
        <w:t xml:space="preserve"> Transportu Drogowego (DTD), Depart</w:t>
      </w:r>
      <w:r w:rsidR="00ED60BE">
        <w:rPr>
          <w:rFonts w:ascii="Arial" w:hAnsi="Arial" w:cs="Arial"/>
          <w:spacing w:val="4"/>
          <w:sz w:val="20"/>
          <w:szCs w:val="20"/>
        </w:rPr>
        <w:t>amen</w:t>
      </w:r>
      <w:r w:rsidR="0057744E">
        <w:rPr>
          <w:rFonts w:ascii="Arial" w:hAnsi="Arial" w:cs="Arial"/>
          <w:spacing w:val="4"/>
          <w:sz w:val="20"/>
          <w:szCs w:val="20"/>
        </w:rPr>
        <w:t>tu</w:t>
      </w:r>
      <w:r w:rsidR="00270465" w:rsidRPr="007F09E7">
        <w:rPr>
          <w:rFonts w:ascii="Arial" w:hAnsi="Arial" w:cs="Arial"/>
          <w:spacing w:val="4"/>
          <w:sz w:val="20"/>
          <w:szCs w:val="20"/>
        </w:rPr>
        <w:t xml:space="preserve"> Kolejnictwa</w:t>
      </w:r>
      <w:r w:rsidR="00AC77C6">
        <w:rPr>
          <w:rFonts w:ascii="Arial" w:hAnsi="Arial" w:cs="Arial"/>
          <w:spacing w:val="4"/>
          <w:sz w:val="20"/>
          <w:szCs w:val="20"/>
        </w:rPr>
        <w:t xml:space="preserve"> (DTK)</w:t>
      </w:r>
      <w:r w:rsidR="00270465" w:rsidRPr="007F09E7">
        <w:rPr>
          <w:rFonts w:ascii="Arial" w:hAnsi="Arial" w:cs="Arial"/>
          <w:spacing w:val="4"/>
          <w:sz w:val="20"/>
          <w:szCs w:val="20"/>
        </w:rPr>
        <w:t xml:space="preserve"> </w:t>
      </w:r>
      <w:r w:rsidR="008A4838" w:rsidRPr="007F09E7">
        <w:rPr>
          <w:rFonts w:ascii="Arial" w:hAnsi="Arial" w:cs="Arial"/>
          <w:spacing w:val="4"/>
          <w:sz w:val="20"/>
          <w:szCs w:val="20"/>
        </w:rPr>
        <w:t>Ministerstwa Infrastruktury</w:t>
      </w:r>
      <w:r w:rsidR="007F4338" w:rsidRPr="007F09E7">
        <w:rPr>
          <w:rFonts w:ascii="Arial" w:hAnsi="Arial" w:cs="Arial"/>
          <w:spacing w:val="4"/>
          <w:sz w:val="20"/>
          <w:szCs w:val="20"/>
        </w:rPr>
        <w:t>,</w:t>
      </w:r>
      <w:r w:rsidR="007D4A26" w:rsidRPr="007F09E7">
        <w:rPr>
          <w:rFonts w:ascii="Arial" w:hAnsi="Arial" w:cs="Arial"/>
          <w:spacing w:val="4"/>
          <w:sz w:val="20"/>
          <w:szCs w:val="20"/>
        </w:rPr>
        <w:t xml:space="preserve"> </w:t>
      </w:r>
      <w:r w:rsidR="00573E43" w:rsidRPr="00283E55">
        <w:rPr>
          <w:rFonts w:ascii="Arial" w:hAnsi="Arial" w:cs="Arial"/>
          <w:spacing w:val="4"/>
          <w:sz w:val="20"/>
          <w:szCs w:val="20"/>
        </w:rPr>
        <w:t>Głównego Inspektora</w:t>
      </w:r>
      <w:r w:rsidR="00573E43">
        <w:rPr>
          <w:rFonts w:ascii="Arial" w:hAnsi="Arial" w:cs="Arial"/>
          <w:spacing w:val="4"/>
          <w:sz w:val="20"/>
          <w:szCs w:val="20"/>
        </w:rPr>
        <w:t>tu Transportu Drogowego (GITD),</w:t>
      </w:r>
      <w:r w:rsidR="00573E43" w:rsidRPr="00283E55">
        <w:rPr>
          <w:rFonts w:ascii="Arial" w:hAnsi="Arial" w:cs="Arial"/>
          <w:spacing w:val="4"/>
          <w:sz w:val="20"/>
          <w:szCs w:val="20"/>
        </w:rPr>
        <w:t xml:space="preserve"> </w:t>
      </w:r>
      <w:r w:rsidR="00573E43">
        <w:rPr>
          <w:rFonts w:ascii="Arial" w:hAnsi="Arial" w:cs="Arial"/>
          <w:spacing w:val="4"/>
          <w:sz w:val="20"/>
          <w:szCs w:val="20"/>
        </w:rPr>
        <w:t xml:space="preserve">Urzędu Transportu Kolejowego (UTK), </w:t>
      </w:r>
      <w:r w:rsidRPr="00283E55">
        <w:rPr>
          <w:rFonts w:ascii="Arial" w:hAnsi="Arial" w:cs="Arial"/>
          <w:spacing w:val="4"/>
          <w:sz w:val="20"/>
          <w:szCs w:val="20"/>
        </w:rPr>
        <w:t xml:space="preserve">Transportowego Dozoru Technicznego (TDT), </w:t>
      </w:r>
      <w:r w:rsidR="007D4A26" w:rsidRPr="00283E55">
        <w:rPr>
          <w:rFonts w:ascii="Arial" w:hAnsi="Arial" w:cs="Arial"/>
          <w:spacing w:val="4"/>
          <w:sz w:val="20"/>
          <w:szCs w:val="20"/>
        </w:rPr>
        <w:t xml:space="preserve">Stowarzyszenia Doradców ds. Transportu Towarów Niebezpiecznych (S-DGSA), </w:t>
      </w:r>
      <w:r w:rsidR="00573E43">
        <w:rPr>
          <w:rFonts w:ascii="Arial" w:hAnsi="Arial" w:cs="Arial"/>
          <w:spacing w:val="4"/>
          <w:sz w:val="20"/>
          <w:szCs w:val="20"/>
        </w:rPr>
        <w:t xml:space="preserve">Europejskiego </w:t>
      </w:r>
      <w:r w:rsidR="00283E55">
        <w:rPr>
          <w:rFonts w:ascii="Arial" w:hAnsi="Arial" w:cs="Arial"/>
          <w:spacing w:val="4"/>
          <w:sz w:val="20"/>
          <w:szCs w:val="20"/>
        </w:rPr>
        <w:t xml:space="preserve"> </w:t>
      </w:r>
      <w:r w:rsidR="008A0C9F">
        <w:rPr>
          <w:rFonts w:ascii="Arial" w:hAnsi="Arial" w:cs="Arial"/>
          <w:spacing w:val="4"/>
          <w:sz w:val="20"/>
          <w:szCs w:val="20"/>
        </w:rPr>
        <w:t xml:space="preserve"> </w:t>
      </w:r>
      <w:r w:rsidR="00573E43">
        <w:rPr>
          <w:rFonts w:ascii="Arial" w:hAnsi="Arial" w:cs="Arial"/>
          <w:spacing w:val="4"/>
          <w:sz w:val="20"/>
          <w:szCs w:val="20"/>
        </w:rPr>
        <w:t>Stowarzyszenia Doradców ADR (ESD ADR).</w:t>
      </w:r>
    </w:p>
    <w:p w:rsidR="00573E43" w:rsidRDefault="00573E43" w:rsidP="00573E43">
      <w:pPr>
        <w:spacing w:after="0" w:line="240" w:lineRule="auto"/>
        <w:ind w:left="708"/>
        <w:jc w:val="both"/>
        <w:rPr>
          <w:rFonts w:ascii="Arial" w:hAnsi="Arial" w:cs="Arial"/>
          <w:spacing w:val="4"/>
          <w:sz w:val="20"/>
          <w:szCs w:val="20"/>
        </w:rPr>
      </w:pPr>
    </w:p>
    <w:p w:rsidR="00A33B09" w:rsidRDefault="00573E43" w:rsidP="00A33B09">
      <w:pPr>
        <w:spacing w:after="0" w:line="240" w:lineRule="auto"/>
        <w:ind w:left="708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Posiedzenie zostało spowodowane sygnałami wpływającymi do resortu infrastruktury oraz pismami ww. Stowarzyszeń, które świadczą o problemach interpretacyjnych art. 15 ust. 2 ustawy z dnia 19 </w:t>
      </w:r>
      <w:r w:rsidR="007970A9">
        <w:rPr>
          <w:rFonts w:ascii="Arial" w:hAnsi="Arial" w:cs="Arial"/>
          <w:spacing w:val="4"/>
          <w:sz w:val="20"/>
          <w:szCs w:val="20"/>
        </w:rPr>
        <w:t>sierpnia</w:t>
      </w:r>
      <w:r>
        <w:rPr>
          <w:rFonts w:ascii="Arial" w:hAnsi="Arial" w:cs="Arial"/>
          <w:spacing w:val="4"/>
          <w:sz w:val="20"/>
          <w:szCs w:val="20"/>
        </w:rPr>
        <w:t xml:space="preserve"> 2011 r. o przewozie towarów niebezpiecznych (Dz. U. z 2020 r. poz. 154, z późn. zm.), rozporządzenia  </w:t>
      </w:r>
      <w:r w:rsidR="00A33B09" w:rsidRPr="00A33B09">
        <w:rPr>
          <w:rFonts w:ascii="Arial" w:hAnsi="Arial" w:cs="Arial"/>
          <w:spacing w:val="4"/>
          <w:sz w:val="20"/>
          <w:szCs w:val="20"/>
        </w:rPr>
        <w:t>Ministra Transportu, Budownictwa i Gospodarki Morskiej z dnia 14 sierpnia 2012 r.</w:t>
      </w:r>
      <w:r w:rsidR="00A33B09">
        <w:rPr>
          <w:rFonts w:ascii="Arial" w:hAnsi="Arial" w:cs="Arial"/>
          <w:spacing w:val="4"/>
          <w:sz w:val="20"/>
          <w:szCs w:val="20"/>
        </w:rPr>
        <w:t xml:space="preserve"> </w:t>
      </w:r>
      <w:r w:rsidR="00A33B09" w:rsidRPr="00A33B09">
        <w:rPr>
          <w:rFonts w:ascii="Arial" w:hAnsi="Arial" w:cs="Arial"/>
          <w:spacing w:val="4"/>
          <w:sz w:val="20"/>
          <w:szCs w:val="20"/>
        </w:rPr>
        <w:t>w sprawie formularza rocznego sprawozdania z działalności w zakresie przewozu towarów niebezpiecznych oraz sposobu jego wypełniania</w:t>
      </w:r>
      <w:r w:rsidR="00A33B09">
        <w:rPr>
          <w:rFonts w:ascii="Arial" w:hAnsi="Arial" w:cs="Arial"/>
          <w:spacing w:val="4"/>
          <w:sz w:val="20"/>
          <w:szCs w:val="20"/>
        </w:rPr>
        <w:t xml:space="preserve"> (Dz. U. poz. 966, z późn. zm.) oraz 1.8.3.1 Umowy ADR/Regulaminu RID.</w:t>
      </w:r>
    </w:p>
    <w:p w:rsidR="00A33B09" w:rsidRDefault="00A33B09" w:rsidP="00A33B09">
      <w:pPr>
        <w:spacing w:after="0" w:line="240" w:lineRule="auto"/>
        <w:ind w:left="708"/>
        <w:jc w:val="both"/>
        <w:rPr>
          <w:rFonts w:ascii="Arial" w:hAnsi="Arial" w:cs="Arial"/>
          <w:spacing w:val="4"/>
          <w:sz w:val="20"/>
          <w:szCs w:val="20"/>
        </w:rPr>
      </w:pPr>
    </w:p>
    <w:p w:rsidR="00A33B09" w:rsidRDefault="00A33B09" w:rsidP="00A33B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A33B09">
        <w:rPr>
          <w:rFonts w:ascii="Arial" w:hAnsi="Arial" w:cs="Arial"/>
          <w:spacing w:val="4"/>
          <w:sz w:val="20"/>
          <w:szCs w:val="20"/>
        </w:rPr>
        <w:t>Podczas spotkania ustalono, że istnieją daleko idące rozbieżności interpretacyjne dotyczące konieczności wyznaczenia doradcy do spraw bezpieczeństwa przewozu towarów niebezpiecznych.</w:t>
      </w:r>
      <w:r>
        <w:rPr>
          <w:rFonts w:ascii="Arial" w:hAnsi="Arial" w:cs="Arial"/>
          <w:spacing w:val="4"/>
          <w:sz w:val="20"/>
          <w:szCs w:val="20"/>
        </w:rPr>
        <w:t xml:space="preserve"> Spowodowane jest to w głównej mierze niejasnym brzmieniem art. 15 ust. 2 ustawy o przewozi towarów niebezpiecznych:,,</w:t>
      </w:r>
      <w:bookmarkStart w:id="0" w:name="mip52834913"/>
      <w:bookmarkEnd w:id="0"/>
      <w:r w:rsidRPr="00A33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B09">
        <w:rPr>
          <w:rFonts w:ascii="Arial" w:hAnsi="Arial" w:cs="Arial"/>
          <w:spacing w:val="4"/>
          <w:sz w:val="20"/>
          <w:szCs w:val="20"/>
        </w:rPr>
        <w:t>2. Obowiązek wyznaczenia doradcy nie dotyczy uczestników wykonujących przewóz towarów niebezpiecznych każdorazowo w ilościach mniejszych niż określone w ADR, RID lub ADN.</w:t>
      </w:r>
      <w:r>
        <w:rPr>
          <w:rFonts w:ascii="Arial" w:hAnsi="Arial" w:cs="Arial"/>
          <w:spacing w:val="4"/>
          <w:sz w:val="20"/>
          <w:szCs w:val="20"/>
        </w:rPr>
        <w:t>”.</w:t>
      </w:r>
    </w:p>
    <w:p w:rsidR="008847DA" w:rsidRPr="00F771CE" w:rsidRDefault="00A33B09" w:rsidP="00F771CE">
      <w:pPr>
        <w:pStyle w:val="Akapitzlist"/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Po pierwsze, w przeciwieństwie do przepisu art. 15 ust. 1</w:t>
      </w:r>
      <w:r w:rsidR="00ED60BE">
        <w:rPr>
          <w:rFonts w:ascii="Arial" w:hAnsi="Arial" w:cs="Arial"/>
          <w:spacing w:val="4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użyto wyrażenia „</w:t>
      </w:r>
      <w:r w:rsidRPr="00A33B09">
        <w:rPr>
          <w:rFonts w:ascii="Arial" w:hAnsi="Arial" w:cs="Arial"/>
          <w:spacing w:val="4"/>
          <w:sz w:val="20"/>
          <w:szCs w:val="20"/>
        </w:rPr>
        <w:t>uczestników wykonujących przewóz</w:t>
      </w:r>
      <w:r>
        <w:rPr>
          <w:rFonts w:ascii="Arial" w:hAnsi="Arial" w:cs="Arial"/>
          <w:spacing w:val="4"/>
          <w:sz w:val="20"/>
          <w:szCs w:val="20"/>
        </w:rPr>
        <w:t>”, co może sugerować, że przepis ten dotyczy wyłącznie przewoźników. Po drugie „ilości mniejsze” mogłoby</w:t>
      </w:r>
      <w:r w:rsidR="00F771CE" w:rsidRPr="00F771CE">
        <w:rPr>
          <w:rFonts w:ascii="Arial" w:hAnsi="Arial" w:cs="Arial"/>
          <w:spacing w:val="4"/>
          <w:sz w:val="20"/>
          <w:szCs w:val="20"/>
        </w:rPr>
        <w:t xml:space="preserve"> </w:t>
      </w:r>
      <w:r w:rsidR="00F771CE">
        <w:rPr>
          <w:rFonts w:ascii="Arial" w:hAnsi="Arial" w:cs="Arial"/>
          <w:spacing w:val="4"/>
          <w:sz w:val="20"/>
          <w:szCs w:val="20"/>
        </w:rPr>
        <w:t>oznaczać</w:t>
      </w:r>
      <w:r>
        <w:rPr>
          <w:rFonts w:ascii="Arial" w:hAnsi="Arial" w:cs="Arial"/>
          <w:spacing w:val="4"/>
          <w:sz w:val="20"/>
          <w:szCs w:val="20"/>
        </w:rPr>
        <w:t>, ilości mniejsze niż podane w 1.1.3.6, 3.3, 3.4, 3.5 ADR/RID.</w:t>
      </w:r>
      <w:r w:rsidR="008847DA">
        <w:rPr>
          <w:rFonts w:ascii="Arial" w:hAnsi="Arial" w:cs="Arial"/>
          <w:spacing w:val="4"/>
          <w:sz w:val="20"/>
          <w:szCs w:val="20"/>
        </w:rPr>
        <w:t xml:space="preserve"> </w:t>
      </w:r>
      <w:r w:rsidR="00F771CE">
        <w:rPr>
          <w:rFonts w:ascii="Arial" w:hAnsi="Arial" w:cs="Arial"/>
          <w:spacing w:val="4"/>
          <w:sz w:val="20"/>
          <w:szCs w:val="20"/>
        </w:rPr>
        <w:t>W przypadku pakujących p</w:t>
      </w:r>
      <w:r w:rsidR="008847DA">
        <w:rPr>
          <w:rFonts w:ascii="Arial" w:hAnsi="Arial" w:cs="Arial"/>
          <w:spacing w:val="4"/>
          <w:sz w:val="20"/>
          <w:szCs w:val="20"/>
        </w:rPr>
        <w:t>roblematyczne jest również ustalenie</w:t>
      </w:r>
      <w:r w:rsidR="00F771CE">
        <w:rPr>
          <w:rFonts w:ascii="Arial" w:hAnsi="Arial" w:cs="Arial"/>
          <w:spacing w:val="4"/>
          <w:sz w:val="20"/>
          <w:szCs w:val="20"/>
        </w:rPr>
        <w:t xml:space="preserve"> kiedy korzystają z 1.1.3.6 tzn. </w:t>
      </w:r>
      <w:r w:rsidR="008847DA">
        <w:rPr>
          <w:rFonts w:ascii="Arial" w:hAnsi="Arial" w:cs="Arial"/>
          <w:spacing w:val="4"/>
          <w:sz w:val="20"/>
          <w:szCs w:val="20"/>
        </w:rPr>
        <w:t>odp</w:t>
      </w:r>
      <w:r w:rsidR="00ED60BE">
        <w:rPr>
          <w:rFonts w:ascii="Arial" w:hAnsi="Arial" w:cs="Arial"/>
          <w:spacing w:val="4"/>
          <w:sz w:val="20"/>
          <w:szCs w:val="20"/>
        </w:rPr>
        <w:t>owiednio dzieląc opakowania mogą</w:t>
      </w:r>
      <w:r w:rsidR="008847DA">
        <w:rPr>
          <w:rFonts w:ascii="Arial" w:hAnsi="Arial" w:cs="Arial"/>
          <w:spacing w:val="4"/>
          <w:sz w:val="20"/>
          <w:szCs w:val="20"/>
        </w:rPr>
        <w:t xml:space="preserve"> korzystać w wyłączeń podczas przewozu</w:t>
      </w:r>
      <w:r w:rsidR="00ED60BE">
        <w:rPr>
          <w:rFonts w:ascii="Arial" w:hAnsi="Arial" w:cs="Arial"/>
          <w:spacing w:val="4"/>
          <w:sz w:val="20"/>
          <w:szCs w:val="20"/>
        </w:rPr>
        <w:t>,</w:t>
      </w:r>
      <w:r w:rsidR="008847DA">
        <w:rPr>
          <w:rFonts w:ascii="Arial" w:hAnsi="Arial" w:cs="Arial"/>
          <w:spacing w:val="4"/>
          <w:sz w:val="20"/>
          <w:szCs w:val="20"/>
        </w:rPr>
        <w:t xml:space="preserve"> jednocześnie zajmując się pakowaniem znacznej</w:t>
      </w:r>
      <w:r w:rsidR="00ED60BE">
        <w:rPr>
          <w:rFonts w:ascii="Arial" w:hAnsi="Arial" w:cs="Arial"/>
          <w:spacing w:val="4"/>
          <w:sz w:val="20"/>
          <w:szCs w:val="20"/>
        </w:rPr>
        <w:t xml:space="preserve"> ilości towarów niebezpiecznych (takie działanie wydaje się sprzeczne z ideą 1.1.3.6).</w:t>
      </w:r>
    </w:p>
    <w:p w:rsidR="008847DA" w:rsidRDefault="008847DA" w:rsidP="00A33B09">
      <w:pPr>
        <w:pStyle w:val="Akapitzlist"/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8847DA" w:rsidRDefault="008847DA" w:rsidP="00A33B09">
      <w:pPr>
        <w:pStyle w:val="Akapitzlist"/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 opinii obu Stowarzyszeń wyznaczenie doradcy powinno być obligatoryjnie </w:t>
      </w:r>
      <w:r w:rsidR="007970A9">
        <w:rPr>
          <w:rFonts w:ascii="Arial" w:hAnsi="Arial" w:cs="Arial"/>
          <w:spacing w:val="4"/>
          <w:sz w:val="20"/>
          <w:szCs w:val="20"/>
        </w:rPr>
        <w:t>w przypadku</w:t>
      </w:r>
      <w:r>
        <w:rPr>
          <w:rFonts w:ascii="Arial" w:hAnsi="Arial" w:cs="Arial"/>
          <w:spacing w:val="4"/>
          <w:sz w:val="20"/>
          <w:szCs w:val="20"/>
        </w:rPr>
        <w:t xml:space="preserve"> korzystani</w:t>
      </w:r>
      <w:r w:rsidR="007970A9"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z wyłączeń</w:t>
      </w:r>
      <w:r w:rsidR="007970A9">
        <w:rPr>
          <w:rFonts w:ascii="Arial" w:hAnsi="Arial" w:cs="Arial"/>
          <w:spacing w:val="4"/>
          <w:sz w:val="20"/>
          <w:szCs w:val="20"/>
        </w:rPr>
        <w:t xml:space="preserve"> na podstawie</w:t>
      </w:r>
      <w:r>
        <w:rPr>
          <w:rFonts w:ascii="Arial" w:hAnsi="Arial" w:cs="Arial"/>
          <w:spacing w:val="4"/>
          <w:sz w:val="20"/>
          <w:szCs w:val="20"/>
        </w:rPr>
        <w:t xml:space="preserve"> 1.1.3.6 ADR/RID. </w:t>
      </w:r>
      <w:r w:rsidR="00AE1FAA">
        <w:rPr>
          <w:rFonts w:ascii="Arial" w:hAnsi="Arial" w:cs="Arial"/>
          <w:spacing w:val="4"/>
          <w:sz w:val="20"/>
          <w:szCs w:val="20"/>
        </w:rPr>
        <w:t xml:space="preserve">ESD ADR zwróciło również uwagę na wypadki podczas przewozu „ukrytych” towarów niebezpiecznych oraz „na wyłączeniu” 1.1.3.6. Stowarzyszenia twierdzą, że należy podnieść świadomość wszystkich uczestników przewozu jakie zagrożenie dla życia i zdrowia mogą powodować towary niebezpieczne.  </w:t>
      </w:r>
    </w:p>
    <w:p w:rsidR="002B1825" w:rsidRDefault="002B1825" w:rsidP="00A33B09">
      <w:pPr>
        <w:pStyle w:val="Akapitzlist"/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2B1825" w:rsidRDefault="002B1825" w:rsidP="00A33B09">
      <w:pPr>
        <w:pStyle w:val="Akapitzlist"/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Przedstawiciel UTK zaznaczył, że konieczność wyznaczenia doradcy powinna być skorelowana z obowiązkami danego uczestnika. Powyższe wynika z faktu, iż w niektórych przypadkach obowiązki doradcy </w:t>
      </w:r>
      <w:r w:rsidR="007970A9">
        <w:rPr>
          <w:rFonts w:ascii="Arial" w:hAnsi="Arial" w:cs="Arial"/>
          <w:spacing w:val="4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wyznaczone głównie w 1.8.3.3 ADR/RID</w:t>
      </w:r>
      <w:r w:rsidR="007970A9">
        <w:rPr>
          <w:rFonts w:ascii="Arial" w:hAnsi="Arial" w:cs="Arial"/>
          <w:spacing w:val="4"/>
          <w:sz w:val="20"/>
          <w:szCs w:val="20"/>
        </w:rPr>
        <w:t>)</w:t>
      </w:r>
      <w:r>
        <w:rPr>
          <w:rFonts w:ascii="Arial" w:hAnsi="Arial" w:cs="Arial"/>
          <w:spacing w:val="4"/>
          <w:sz w:val="20"/>
          <w:szCs w:val="20"/>
        </w:rPr>
        <w:t xml:space="preserve"> nie będą powiązane z obowiązkami uczestnika przewozu. </w:t>
      </w:r>
      <w:r w:rsidR="007970A9">
        <w:rPr>
          <w:rFonts w:ascii="Arial" w:hAnsi="Arial" w:cs="Arial"/>
          <w:spacing w:val="4"/>
          <w:sz w:val="20"/>
          <w:szCs w:val="20"/>
        </w:rPr>
        <w:t>Wówczas praca doradcy nie miała by wartości dodanej a powodowałaby tylko niepotrzebne koszty dla przedsiębiorcy.</w:t>
      </w:r>
    </w:p>
    <w:p w:rsidR="002B1825" w:rsidRDefault="002B1825" w:rsidP="00A33B09">
      <w:pPr>
        <w:pStyle w:val="Akapitzlist"/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7137AF" w:rsidRPr="0057744E" w:rsidRDefault="007137AF" w:rsidP="0057744E">
      <w:pPr>
        <w:pStyle w:val="Akapitzlist"/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 tym miejscu można przywołać wyrok WSA </w:t>
      </w:r>
      <w:r w:rsidRPr="0057744E">
        <w:rPr>
          <w:rFonts w:ascii="Arial" w:hAnsi="Arial" w:cs="Arial"/>
          <w:spacing w:val="4"/>
          <w:sz w:val="20"/>
          <w:szCs w:val="20"/>
        </w:rPr>
        <w:t>z dnia</w:t>
      </w:r>
      <w:r w:rsidR="0057744E">
        <w:rPr>
          <w:rFonts w:ascii="Arial" w:hAnsi="Arial" w:cs="Arial"/>
          <w:spacing w:val="4"/>
          <w:sz w:val="20"/>
          <w:szCs w:val="20"/>
        </w:rPr>
        <w:t xml:space="preserve"> 29.02.2016 (VI SA/</w:t>
      </w:r>
      <w:proofErr w:type="spellStart"/>
      <w:r w:rsidR="0057744E">
        <w:rPr>
          <w:rFonts w:ascii="Arial" w:hAnsi="Arial" w:cs="Arial"/>
          <w:spacing w:val="4"/>
          <w:sz w:val="20"/>
          <w:szCs w:val="20"/>
        </w:rPr>
        <w:t>Wa</w:t>
      </w:r>
      <w:proofErr w:type="spellEnd"/>
      <w:r w:rsidR="0057744E">
        <w:rPr>
          <w:rFonts w:ascii="Arial" w:hAnsi="Arial" w:cs="Arial"/>
          <w:spacing w:val="4"/>
          <w:sz w:val="20"/>
          <w:szCs w:val="20"/>
        </w:rPr>
        <w:t xml:space="preserve"> 2565/15), </w:t>
      </w:r>
      <w:r w:rsidRPr="0057744E">
        <w:rPr>
          <w:rFonts w:ascii="Arial" w:hAnsi="Arial" w:cs="Arial"/>
          <w:spacing w:val="4"/>
          <w:sz w:val="20"/>
          <w:szCs w:val="20"/>
        </w:rPr>
        <w:t xml:space="preserve">„W myśl przepisu art. 15 ust. 2 ww. ustawy o przewozie towarów niebezpiecznych, obowiązek wyznaczenia doradcy nie dotyczy uczestników wykonujących przewóz towarów niebezpiecznych każdorazowo w ilościach mniejszych niż określone w umowie ADR. Zgodnie z przepisem 1.8.3.2 lit. (a) umowy ADR, przedsiębiorstwa, których działalność </w:t>
      </w:r>
      <w:r w:rsidRPr="0057744E">
        <w:rPr>
          <w:rFonts w:ascii="Arial" w:hAnsi="Arial" w:cs="Arial"/>
          <w:spacing w:val="4"/>
          <w:sz w:val="20"/>
          <w:szCs w:val="20"/>
        </w:rPr>
        <w:lastRenderedPageBreak/>
        <w:t>dotyczy takich ilości towarów w każdej jednostce transportowej, które są mniejsze od podanych pod 1.1.3.6, 1.7.1.4 i w działach 3.3, 3.4 i 3.5 są zwolnione z</w:t>
      </w:r>
      <w:r w:rsidR="0057744E">
        <w:rPr>
          <w:rFonts w:ascii="Arial" w:hAnsi="Arial" w:cs="Arial"/>
          <w:spacing w:val="4"/>
          <w:sz w:val="20"/>
          <w:szCs w:val="20"/>
        </w:rPr>
        <w:t xml:space="preserve"> obowiązku wyznaczenia doradcy.”.</w:t>
      </w:r>
    </w:p>
    <w:p w:rsidR="007137AF" w:rsidRDefault="007137AF" w:rsidP="00A33B09">
      <w:pPr>
        <w:pStyle w:val="Akapitzlist"/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7137AF" w:rsidRDefault="007137AF" w:rsidP="00A33B09">
      <w:pPr>
        <w:pStyle w:val="Akapitzlist"/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2B1825" w:rsidRDefault="00405E50" w:rsidP="007970A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Podniesiono również przepis1.6.1.44 ADR/RID, który stanowi: „</w:t>
      </w:r>
      <w:r w:rsidRPr="00405E50">
        <w:rPr>
          <w:rFonts w:ascii="Arial" w:hAnsi="Arial" w:cs="Arial"/>
          <w:spacing w:val="4"/>
          <w:sz w:val="20"/>
          <w:szCs w:val="20"/>
        </w:rPr>
        <w:t>W odst</w:t>
      </w:r>
      <w:r w:rsidRPr="00405E50">
        <w:rPr>
          <w:rFonts w:ascii="Arial" w:hAnsi="Arial" w:cs="Arial" w:hint="eastAsia"/>
          <w:spacing w:val="4"/>
          <w:sz w:val="20"/>
          <w:szCs w:val="20"/>
        </w:rPr>
        <w:t>ę</w:t>
      </w:r>
      <w:r w:rsidRPr="00405E50">
        <w:rPr>
          <w:rFonts w:ascii="Arial" w:hAnsi="Arial" w:cs="Arial"/>
          <w:spacing w:val="4"/>
          <w:sz w:val="20"/>
          <w:szCs w:val="20"/>
        </w:rPr>
        <w:t>pstwie od przepisu 1.8.3.1 obowi</w:t>
      </w:r>
      <w:r w:rsidRPr="00405E50">
        <w:rPr>
          <w:rFonts w:ascii="Arial" w:hAnsi="Arial" w:cs="Arial" w:hint="eastAsia"/>
          <w:spacing w:val="4"/>
          <w:sz w:val="20"/>
          <w:szCs w:val="20"/>
        </w:rPr>
        <w:t>ą</w:t>
      </w:r>
      <w:r w:rsidRPr="00405E50">
        <w:rPr>
          <w:rFonts w:ascii="Arial" w:hAnsi="Arial" w:cs="Arial"/>
          <w:spacing w:val="4"/>
          <w:sz w:val="20"/>
          <w:szCs w:val="20"/>
        </w:rPr>
        <w:t>zuj</w:t>
      </w:r>
      <w:r w:rsidRPr="00405E50">
        <w:rPr>
          <w:rFonts w:ascii="Arial" w:hAnsi="Arial" w:cs="Arial" w:hint="eastAsia"/>
          <w:spacing w:val="4"/>
          <w:sz w:val="20"/>
          <w:szCs w:val="20"/>
        </w:rPr>
        <w:t>ą</w:t>
      </w:r>
      <w:r w:rsidRPr="00405E50">
        <w:rPr>
          <w:rFonts w:ascii="Arial" w:hAnsi="Arial" w:cs="Arial"/>
          <w:spacing w:val="4"/>
          <w:sz w:val="20"/>
          <w:szCs w:val="20"/>
        </w:rPr>
        <w:t>cego od 1 stycznia 2019 r., przedsi</w:t>
      </w:r>
      <w:r w:rsidRPr="00405E50">
        <w:rPr>
          <w:rFonts w:ascii="Arial" w:hAnsi="Arial" w:cs="Arial" w:hint="eastAsia"/>
          <w:spacing w:val="4"/>
          <w:sz w:val="20"/>
          <w:szCs w:val="20"/>
        </w:rPr>
        <w:t>ę</w:t>
      </w:r>
      <w:r>
        <w:rPr>
          <w:rFonts w:ascii="Arial" w:hAnsi="Arial" w:cs="Arial"/>
          <w:spacing w:val="4"/>
          <w:sz w:val="20"/>
          <w:szCs w:val="20"/>
        </w:rPr>
        <w:t xml:space="preserve">biorstwa, które </w:t>
      </w:r>
      <w:r w:rsidRPr="00405E50">
        <w:rPr>
          <w:rFonts w:ascii="Arial" w:hAnsi="Arial" w:cs="Arial"/>
          <w:spacing w:val="4"/>
          <w:sz w:val="20"/>
          <w:szCs w:val="20"/>
        </w:rPr>
        <w:t>uczestnicz</w:t>
      </w:r>
      <w:r w:rsidRPr="00405E50">
        <w:rPr>
          <w:rFonts w:ascii="Arial" w:hAnsi="Arial" w:cs="Arial" w:hint="eastAsia"/>
          <w:spacing w:val="4"/>
          <w:sz w:val="20"/>
          <w:szCs w:val="20"/>
        </w:rPr>
        <w:t>ą</w:t>
      </w:r>
      <w:r w:rsidRPr="00405E50">
        <w:rPr>
          <w:rFonts w:ascii="Arial" w:hAnsi="Arial" w:cs="Arial"/>
          <w:spacing w:val="4"/>
          <w:sz w:val="20"/>
          <w:szCs w:val="20"/>
        </w:rPr>
        <w:t xml:space="preserve"> w przewozie towarów niebezpiecznych wył</w:t>
      </w:r>
      <w:r w:rsidRPr="00405E50">
        <w:rPr>
          <w:rFonts w:ascii="Arial" w:hAnsi="Arial" w:cs="Arial" w:hint="eastAsia"/>
          <w:spacing w:val="4"/>
          <w:sz w:val="20"/>
          <w:szCs w:val="20"/>
        </w:rPr>
        <w:t>ą</w:t>
      </w:r>
      <w:r w:rsidRPr="00405E50">
        <w:rPr>
          <w:rFonts w:ascii="Arial" w:hAnsi="Arial" w:cs="Arial"/>
          <w:spacing w:val="4"/>
          <w:sz w:val="20"/>
          <w:szCs w:val="20"/>
        </w:rPr>
        <w:t>cznie jako nadawcy, i które nie miały obowi</w:t>
      </w:r>
      <w:r w:rsidRPr="00405E50">
        <w:rPr>
          <w:rFonts w:ascii="Arial" w:hAnsi="Arial" w:cs="Arial" w:hint="eastAsia"/>
          <w:spacing w:val="4"/>
          <w:sz w:val="20"/>
          <w:szCs w:val="20"/>
        </w:rPr>
        <w:t>ą</w:t>
      </w:r>
      <w:r w:rsidRPr="00405E50">
        <w:rPr>
          <w:rFonts w:ascii="Arial" w:hAnsi="Arial" w:cs="Arial"/>
          <w:spacing w:val="4"/>
          <w:sz w:val="20"/>
          <w:szCs w:val="20"/>
        </w:rPr>
        <w:t>zku wyznaczenia doradcy do spraw bezpiecze</w:t>
      </w:r>
      <w:r w:rsidRPr="00405E50">
        <w:rPr>
          <w:rFonts w:ascii="Arial" w:hAnsi="Arial" w:cs="Arial" w:hint="eastAsia"/>
          <w:spacing w:val="4"/>
          <w:sz w:val="20"/>
          <w:szCs w:val="20"/>
        </w:rPr>
        <w:t>ń</w:t>
      </w:r>
      <w:r w:rsidRPr="00405E50">
        <w:rPr>
          <w:rFonts w:ascii="Arial" w:hAnsi="Arial" w:cs="Arial"/>
          <w:spacing w:val="4"/>
          <w:sz w:val="20"/>
          <w:szCs w:val="20"/>
        </w:rPr>
        <w:t>stwa na podstawie przepisów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405E50">
        <w:rPr>
          <w:rFonts w:ascii="Arial" w:hAnsi="Arial" w:cs="Arial"/>
          <w:spacing w:val="4"/>
          <w:sz w:val="20"/>
          <w:szCs w:val="20"/>
        </w:rPr>
        <w:t>obowi</w:t>
      </w:r>
      <w:r w:rsidRPr="00405E50">
        <w:rPr>
          <w:rFonts w:ascii="Arial" w:hAnsi="Arial" w:cs="Arial" w:hint="eastAsia"/>
          <w:spacing w:val="4"/>
          <w:sz w:val="20"/>
          <w:szCs w:val="20"/>
        </w:rPr>
        <w:t>ą</w:t>
      </w:r>
      <w:r w:rsidRPr="00405E50">
        <w:rPr>
          <w:rFonts w:ascii="Arial" w:hAnsi="Arial" w:cs="Arial"/>
          <w:spacing w:val="4"/>
          <w:sz w:val="20"/>
          <w:szCs w:val="20"/>
        </w:rPr>
        <w:t>zuj</w:t>
      </w:r>
      <w:r w:rsidRPr="00405E50">
        <w:rPr>
          <w:rFonts w:ascii="Arial" w:hAnsi="Arial" w:cs="Arial" w:hint="eastAsia"/>
          <w:spacing w:val="4"/>
          <w:sz w:val="20"/>
          <w:szCs w:val="20"/>
        </w:rPr>
        <w:t>ą</w:t>
      </w:r>
      <w:r w:rsidRPr="00405E50">
        <w:rPr>
          <w:rFonts w:ascii="Arial" w:hAnsi="Arial" w:cs="Arial"/>
          <w:spacing w:val="4"/>
          <w:sz w:val="20"/>
          <w:szCs w:val="20"/>
        </w:rPr>
        <w:t>cych do 31 grudnia 2018 r., powinny wyznaczy</w:t>
      </w:r>
      <w:r w:rsidRPr="00405E50">
        <w:rPr>
          <w:rFonts w:ascii="Arial" w:hAnsi="Arial" w:cs="Arial" w:hint="eastAsia"/>
          <w:spacing w:val="4"/>
          <w:sz w:val="20"/>
          <w:szCs w:val="20"/>
        </w:rPr>
        <w:t>ć</w:t>
      </w:r>
      <w:r w:rsidRPr="00405E50">
        <w:rPr>
          <w:rFonts w:ascii="Arial" w:hAnsi="Arial" w:cs="Arial"/>
          <w:spacing w:val="4"/>
          <w:sz w:val="20"/>
          <w:szCs w:val="20"/>
        </w:rPr>
        <w:t xml:space="preserve"> doradc</w:t>
      </w:r>
      <w:r w:rsidRPr="00405E50">
        <w:rPr>
          <w:rFonts w:ascii="Arial" w:hAnsi="Arial" w:cs="Arial" w:hint="eastAsia"/>
          <w:spacing w:val="4"/>
          <w:sz w:val="20"/>
          <w:szCs w:val="20"/>
        </w:rPr>
        <w:t>ę</w:t>
      </w:r>
      <w:r w:rsidRPr="00405E50">
        <w:rPr>
          <w:rFonts w:ascii="Arial" w:hAnsi="Arial" w:cs="Arial"/>
          <w:spacing w:val="4"/>
          <w:sz w:val="20"/>
          <w:szCs w:val="20"/>
        </w:rPr>
        <w:t xml:space="preserve"> do spraw bezpiecze</w:t>
      </w:r>
      <w:r w:rsidRPr="00405E50">
        <w:rPr>
          <w:rFonts w:ascii="Arial" w:hAnsi="Arial" w:cs="Arial" w:hint="eastAsia"/>
          <w:spacing w:val="4"/>
          <w:sz w:val="20"/>
          <w:szCs w:val="20"/>
        </w:rPr>
        <w:t>ń</w:t>
      </w:r>
      <w:r w:rsidRPr="00405E50">
        <w:rPr>
          <w:rFonts w:ascii="Arial" w:hAnsi="Arial" w:cs="Arial"/>
          <w:spacing w:val="4"/>
          <w:sz w:val="20"/>
          <w:szCs w:val="20"/>
        </w:rPr>
        <w:t>stwa nie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405E50">
        <w:rPr>
          <w:rFonts w:ascii="Arial" w:hAnsi="Arial" w:cs="Arial"/>
          <w:spacing w:val="4"/>
          <w:sz w:val="20"/>
          <w:szCs w:val="20"/>
        </w:rPr>
        <w:t>pó</w:t>
      </w:r>
      <w:r w:rsidRPr="00405E50">
        <w:rPr>
          <w:rFonts w:ascii="Arial" w:hAnsi="Arial" w:cs="Arial" w:hint="eastAsia"/>
          <w:spacing w:val="4"/>
          <w:sz w:val="20"/>
          <w:szCs w:val="20"/>
        </w:rPr>
        <w:t>ź</w:t>
      </w:r>
      <w:r w:rsidRPr="00405E50">
        <w:rPr>
          <w:rFonts w:ascii="Arial" w:hAnsi="Arial" w:cs="Arial"/>
          <w:spacing w:val="4"/>
          <w:sz w:val="20"/>
          <w:szCs w:val="20"/>
        </w:rPr>
        <w:t>niej ni</w:t>
      </w:r>
      <w:r w:rsidRPr="00405E50">
        <w:rPr>
          <w:rFonts w:ascii="Arial" w:hAnsi="Arial" w:cs="Arial" w:hint="eastAsia"/>
          <w:spacing w:val="4"/>
          <w:sz w:val="20"/>
          <w:szCs w:val="20"/>
        </w:rPr>
        <w:t>ż</w:t>
      </w:r>
      <w:r w:rsidRPr="00405E50">
        <w:rPr>
          <w:rFonts w:ascii="Arial" w:hAnsi="Arial" w:cs="Arial"/>
          <w:spacing w:val="4"/>
          <w:sz w:val="20"/>
          <w:szCs w:val="20"/>
        </w:rPr>
        <w:t xml:space="preserve"> 31 grudnia 2022 r.</w:t>
      </w:r>
      <w:r>
        <w:rPr>
          <w:rFonts w:ascii="Arial" w:hAnsi="Arial" w:cs="Arial"/>
          <w:spacing w:val="4"/>
          <w:sz w:val="20"/>
          <w:szCs w:val="20"/>
        </w:rPr>
        <w:t>”.</w:t>
      </w:r>
    </w:p>
    <w:p w:rsidR="00405E50" w:rsidRDefault="00405E50" w:rsidP="00405E50">
      <w:pPr>
        <w:pStyle w:val="Akapitzlist"/>
        <w:jc w:val="both"/>
        <w:rPr>
          <w:rFonts w:ascii="Arial" w:hAnsi="Arial" w:cs="Arial"/>
          <w:spacing w:val="4"/>
          <w:sz w:val="20"/>
          <w:szCs w:val="20"/>
        </w:rPr>
      </w:pPr>
    </w:p>
    <w:p w:rsidR="00405E50" w:rsidRDefault="00405E50" w:rsidP="00405E50">
      <w:pPr>
        <w:pStyle w:val="Akapitzlis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Obecnie MI nie posiada informacji, ilu nadawców, wyznaczyło doradcę. </w:t>
      </w:r>
      <w:r w:rsidR="007970A9">
        <w:rPr>
          <w:rFonts w:ascii="Arial" w:hAnsi="Arial" w:cs="Arial"/>
          <w:spacing w:val="4"/>
          <w:sz w:val="20"/>
          <w:szCs w:val="20"/>
        </w:rPr>
        <w:t>Uczestnicy spotkania zaznaczyli</w:t>
      </w:r>
      <w:r>
        <w:rPr>
          <w:rFonts w:ascii="Arial" w:hAnsi="Arial" w:cs="Arial"/>
          <w:spacing w:val="4"/>
          <w:sz w:val="20"/>
          <w:szCs w:val="20"/>
        </w:rPr>
        <w:t xml:space="preserve"> jednak</w:t>
      </w:r>
      <w:r w:rsidR="007970A9">
        <w:rPr>
          <w:rFonts w:ascii="Arial" w:hAnsi="Arial" w:cs="Arial"/>
          <w:spacing w:val="4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że większość nadawców jest zarówno załadowcą czy też przewoźnikiem. Jedynie firmy spedycyjne mogą stanowić potencjalnych „samoistnych” nadawców. W takim przypadku wątpliwa wydaje się zasadność wyznaczenia doradcy co jednak stoi w sprzeczności z 1.6.1.44 </w:t>
      </w:r>
      <w:r w:rsidR="007970A9">
        <w:rPr>
          <w:rFonts w:ascii="Arial" w:hAnsi="Arial" w:cs="Arial"/>
          <w:spacing w:val="4"/>
          <w:sz w:val="20"/>
          <w:szCs w:val="20"/>
        </w:rPr>
        <w:t xml:space="preserve">ADR/RID , </w:t>
      </w:r>
      <w:r>
        <w:rPr>
          <w:rFonts w:ascii="Arial" w:hAnsi="Arial" w:cs="Arial"/>
          <w:spacing w:val="4"/>
          <w:sz w:val="20"/>
          <w:szCs w:val="20"/>
        </w:rPr>
        <w:t xml:space="preserve">które nie przewiduje wyłączeń. </w:t>
      </w:r>
      <w:r w:rsidR="007970A9">
        <w:rPr>
          <w:rFonts w:ascii="Arial" w:hAnsi="Arial" w:cs="Arial"/>
          <w:spacing w:val="4"/>
          <w:sz w:val="20"/>
          <w:szCs w:val="20"/>
        </w:rPr>
        <w:t xml:space="preserve">Z tego też powodu </w:t>
      </w:r>
      <w:r>
        <w:rPr>
          <w:rFonts w:ascii="Arial" w:hAnsi="Arial" w:cs="Arial"/>
          <w:spacing w:val="4"/>
          <w:sz w:val="20"/>
          <w:szCs w:val="20"/>
        </w:rPr>
        <w:t>ww. rozporzą</w:t>
      </w:r>
      <w:r w:rsidR="007970A9">
        <w:rPr>
          <w:rFonts w:ascii="Arial" w:hAnsi="Arial" w:cs="Arial"/>
          <w:spacing w:val="4"/>
          <w:sz w:val="20"/>
          <w:szCs w:val="20"/>
        </w:rPr>
        <w:t xml:space="preserve">dzenie jest „niepełne”, ponieważ </w:t>
      </w:r>
      <w:r>
        <w:rPr>
          <w:rFonts w:ascii="Arial" w:hAnsi="Arial" w:cs="Arial"/>
          <w:spacing w:val="4"/>
          <w:sz w:val="20"/>
          <w:szCs w:val="20"/>
        </w:rPr>
        <w:t xml:space="preserve">nie przewiduje w sprawozdaniu kolumny „nadawanie”, co uniemożliwia wpisania odpowiednich wartości przez nadawcę </w:t>
      </w:r>
      <w:r w:rsidR="007970A9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>(</w:t>
      </w:r>
      <w:r w:rsidR="007970A9">
        <w:rPr>
          <w:rFonts w:ascii="Arial" w:hAnsi="Arial" w:cs="Arial"/>
          <w:spacing w:val="4"/>
          <w:sz w:val="20"/>
          <w:szCs w:val="20"/>
        </w:rPr>
        <w:t>w obecnym brzmieniu nadawcy powinni</w:t>
      </w:r>
      <w:r>
        <w:rPr>
          <w:rFonts w:ascii="Arial" w:hAnsi="Arial" w:cs="Arial"/>
          <w:spacing w:val="4"/>
          <w:sz w:val="20"/>
          <w:szCs w:val="20"/>
        </w:rPr>
        <w:t xml:space="preserve"> wypełnić sprawozdanie jako „zerowe”, co mija się z celem i wprowadza chaos </w:t>
      </w:r>
      <w:r w:rsidR="0057744E">
        <w:rPr>
          <w:rFonts w:ascii="Arial" w:hAnsi="Arial" w:cs="Arial"/>
          <w:spacing w:val="4"/>
          <w:sz w:val="20"/>
          <w:szCs w:val="20"/>
        </w:rPr>
        <w:t>informacyjny</w:t>
      </w:r>
      <w:r>
        <w:rPr>
          <w:rFonts w:ascii="Arial" w:hAnsi="Arial" w:cs="Arial"/>
          <w:spacing w:val="4"/>
          <w:sz w:val="20"/>
          <w:szCs w:val="20"/>
        </w:rPr>
        <w:t>).</w:t>
      </w:r>
    </w:p>
    <w:p w:rsidR="007970A9" w:rsidRDefault="007970A9" w:rsidP="00405E50">
      <w:pPr>
        <w:pStyle w:val="Akapitzlist"/>
        <w:jc w:val="both"/>
        <w:rPr>
          <w:rFonts w:ascii="Arial" w:hAnsi="Arial" w:cs="Arial"/>
          <w:spacing w:val="4"/>
          <w:sz w:val="20"/>
          <w:szCs w:val="20"/>
        </w:rPr>
      </w:pPr>
    </w:p>
    <w:p w:rsidR="007970A9" w:rsidRDefault="007970A9" w:rsidP="00405E50">
      <w:pPr>
        <w:pStyle w:val="Akapitzlis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Przedstawiciel GITD podkreślił znaczenie sprawozdania rocznego dla pracy Inspektorów Transportu Drogowego, którzy na jego podstawie mogą kontrolować (w pewnym zakresie) przedsiębiorców będących uczestnikami przewozu towarów niebezpiecznych. </w:t>
      </w:r>
    </w:p>
    <w:p w:rsidR="00405E50" w:rsidRDefault="00405E50" w:rsidP="00405E50">
      <w:pPr>
        <w:pStyle w:val="Akapitzlist"/>
        <w:jc w:val="both"/>
        <w:rPr>
          <w:rFonts w:ascii="Arial" w:hAnsi="Arial" w:cs="Arial"/>
          <w:spacing w:val="4"/>
          <w:sz w:val="20"/>
          <w:szCs w:val="20"/>
        </w:rPr>
      </w:pPr>
    </w:p>
    <w:p w:rsidR="00405E50" w:rsidRDefault="0057744E" w:rsidP="0057744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Mając na względzie powyższe, w opinii Zespołu doradczego:</w:t>
      </w:r>
    </w:p>
    <w:p w:rsidR="0057744E" w:rsidRDefault="0057744E" w:rsidP="005774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Brzmienie art. 15 ust. 2 ustawy o przewozie towarów niebezpiecznych oznacza, że wszyscy uczestnicy przewozu towarów niebezpiecznych, którzy korzystają z wyłączeń, o których mowa w 1.1.3.6, 3.3, 3.4, 3.5 ADR/RID nie są zobowiązani do wyznaczenia doradcy do spraw bezpieczeństwa przewozu towarów niebezpiecznych.</w:t>
      </w:r>
    </w:p>
    <w:p w:rsidR="00405E50" w:rsidRDefault="0057744E" w:rsidP="005774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Pożądanym jest, aby uczestnicy, którzy korzystają ze zwolnienia zgodnie z 1.1.3.6 ADR/RID mieli obowiązek wyznaczenia </w:t>
      </w:r>
      <w:r w:rsidRPr="0057744E">
        <w:rPr>
          <w:rFonts w:ascii="Arial" w:hAnsi="Arial" w:cs="Arial"/>
          <w:spacing w:val="4"/>
          <w:sz w:val="20"/>
          <w:szCs w:val="20"/>
        </w:rPr>
        <w:t>doradcy do spraw bezpieczeństwa przewozu towarów niebezpiecznych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57744E" w:rsidRDefault="0057744E" w:rsidP="005774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Należy zmienić brzmienie art. 15 ust. 2 ustawy o przewozie towarów niebezpiecznych, aby poprawić jego czytelność oraz w celu</w:t>
      </w:r>
      <w:r w:rsidR="00ED60BE">
        <w:rPr>
          <w:rFonts w:ascii="Arial" w:hAnsi="Arial" w:cs="Arial"/>
          <w:spacing w:val="4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o którym mowa w pkt 2.</w:t>
      </w:r>
    </w:p>
    <w:p w:rsidR="0057744E" w:rsidRDefault="0057744E" w:rsidP="005774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Wszyscy nadawcy powinni wyznaczyć doradcę </w:t>
      </w:r>
      <w:r w:rsidRPr="0057744E">
        <w:rPr>
          <w:rFonts w:ascii="Arial" w:hAnsi="Arial" w:cs="Arial"/>
          <w:spacing w:val="4"/>
          <w:sz w:val="20"/>
          <w:szCs w:val="20"/>
        </w:rPr>
        <w:t>do spraw bezpieczeństwa przewozu towarów niebezpiecznych</w:t>
      </w:r>
      <w:r>
        <w:rPr>
          <w:rFonts w:ascii="Arial" w:hAnsi="Arial" w:cs="Arial"/>
          <w:spacing w:val="4"/>
          <w:sz w:val="20"/>
          <w:szCs w:val="20"/>
        </w:rPr>
        <w:t xml:space="preserve"> do dnia 31 grudnia 2022 r.</w:t>
      </w:r>
    </w:p>
    <w:p w:rsidR="0057744E" w:rsidRDefault="0057744E" w:rsidP="005774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 uwagi na pkt 4, należy zmienić rozporządzenie </w:t>
      </w:r>
      <w:r w:rsidRPr="0057744E">
        <w:rPr>
          <w:rFonts w:ascii="Arial" w:hAnsi="Arial" w:cs="Arial"/>
          <w:spacing w:val="4"/>
          <w:sz w:val="20"/>
          <w:szCs w:val="20"/>
        </w:rPr>
        <w:t>Ministra Transportu, Budownictwa i Gospodarki Morskiej z dnia 14 sierpnia 2012 r. w sprawie formularza rocznego sprawozdania z działalności w zakresie przewozu towarów niebezpiecznych oraz sposobu jego wypełniania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7970A9" w:rsidRPr="00A01595" w:rsidRDefault="007970A9" w:rsidP="00A01595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Wyznaczenie doradcy wiąże się z koniecznością przekazania sprawozdania rocznego, o którym mowa w ww. rozporządzeniu, </w:t>
      </w:r>
      <w:r w:rsidR="00A01595">
        <w:rPr>
          <w:rFonts w:ascii="Arial" w:hAnsi="Arial" w:cs="Arial"/>
          <w:spacing w:val="4"/>
          <w:sz w:val="20"/>
          <w:szCs w:val="20"/>
        </w:rPr>
        <w:t xml:space="preserve">zgodnie </w:t>
      </w:r>
      <w:r w:rsidR="00ED60BE">
        <w:rPr>
          <w:rFonts w:ascii="Arial" w:hAnsi="Arial" w:cs="Arial"/>
          <w:spacing w:val="4"/>
          <w:sz w:val="20"/>
          <w:szCs w:val="20"/>
        </w:rPr>
        <w:t xml:space="preserve">bowiem </w:t>
      </w:r>
      <w:r w:rsidR="00A01595">
        <w:rPr>
          <w:rFonts w:ascii="Arial" w:hAnsi="Arial" w:cs="Arial"/>
          <w:spacing w:val="4"/>
          <w:sz w:val="20"/>
          <w:szCs w:val="20"/>
        </w:rPr>
        <w:t>z art. 41 ust. 1 „</w:t>
      </w:r>
      <w:r w:rsidR="00A01595" w:rsidRPr="00A01595">
        <w:rPr>
          <w:rFonts w:ascii="Arial" w:hAnsi="Arial" w:cs="Arial"/>
          <w:spacing w:val="4"/>
          <w:sz w:val="20"/>
          <w:szCs w:val="20"/>
        </w:rPr>
        <w:t>Doradca przygotowuje roczne sprawozdanie w dwóch egzemplarzach, podpisując je imieniem i nazwiskiem oraz wskazując numer świadectwa doradcy, o którym mowa w art. 42 ust. 1.</w:t>
      </w:r>
      <w:r w:rsidR="00A01595">
        <w:rPr>
          <w:rFonts w:ascii="Arial" w:hAnsi="Arial" w:cs="Arial"/>
          <w:spacing w:val="4"/>
          <w:sz w:val="20"/>
          <w:szCs w:val="20"/>
        </w:rPr>
        <w:t>”</w:t>
      </w:r>
      <w:r w:rsidR="00625374">
        <w:rPr>
          <w:rFonts w:ascii="Arial" w:hAnsi="Arial" w:cs="Arial"/>
          <w:spacing w:val="4"/>
          <w:sz w:val="20"/>
          <w:szCs w:val="20"/>
        </w:rPr>
        <w:t xml:space="preserve">. Uczestnik, który nie ma wyznaczonego doradcy nie wypełnia sprawozdania rocznego. </w:t>
      </w:r>
    </w:p>
    <w:p w:rsidR="007970A9" w:rsidRPr="007970A9" w:rsidRDefault="007970A9" w:rsidP="00A01595">
      <w:pPr>
        <w:pStyle w:val="Akapitzlist"/>
        <w:jc w:val="both"/>
        <w:rPr>
          <w:rFonts w:ascii="Arial" w:hAnsi="Arial" w:cs="Arial"/>
          <w:spacing w:val="4"/>
          <w:sz w:val="20"/>
          <w:szCs w:val="20"/>
        </w:rPr>
      </w:pPr>
    </w:p>
    <w:p w:rsidR="00405E50" w:rsidRPr="00405E50" w:rsidRDefault="00405E50" w:rsidP="00405E50">
      <w:pPr>
        <w:pStyle w:val="Akapitzlist"/>
        <w:jc w:val="both"/>
        <w:rPr>
          <w:rFonts w:ascii="Arial" w:hAnsi="Arial" w:cs="Arial"/>
          <w:spacing w:val="4"/>
          <w:sz w:val="20"/>
          <w:szCs w:val="20"/>
        </w:rPr>
      </w:pPr>
    </w:p>
    <w:p w:rsidR="008847DA" w:rsidRDefault="008847DA" w:rsidP="00A33B09">
      <w:pPr>
        <w:pStyle w:val="Akapitzlist"/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283E55" w:rsidRDefault="00283E55" w:rsidP="00051D9A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bookmarkStart w:id="1" w:name="_GoBack"/>
      <w:bookmarkEnd w:id="1"/>
    </w:p>
    <w:p w:rsidR="00573E43" w:rsidRDefault="00573E43" w:rsidP="00051D9A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66790A" w:rsidRPr="007F09E7" w:rsidRDefault="0066790A" w:rsidP="00051D9A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4259B1" w:rsidRPr="009011FC" w:rsidRDefault="004259B1" w:rsidP="006676FD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</w:p>
    <w:sectPr w:rsidR="004259B1" w:rsidRPr="009011FC" w:rsidSect="002C32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13" w:rsidRDefault="007E7413" w:rsidP="000156AB">
      <w:pPr>
        <w:spacing w:after="0" w:line="240" w:lineRule="auto"/>
      </w:pPr>
      <w:r>
        <w:separator/>
      </w:r>
    </w:p>
  </w:endnote>
  <w:endnote w:type="continuationSeparator" w:id="0">
    <w:p w:rsidR="007E7413" w:rsidRDefault="007E7413" w:rsidP="0001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1443"/>
      <w:docPartObj>
        <w:docPartGallery w:val="Page Numbers (Bottom of Page)"/>
        <w:docPartUnique/>
      </w:docPartObj>
    </w:sdtPr>
    <w:sdtEndPr/>
    <w:sdtContent>
      <w:p w:rsidR="00326E59" w:rsidRDefault="00DF64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E59" w:rsidRDefault="00326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13" w:rsidRDefault="007E7413" w:rsidP="000156AB">
      <w:pPr>
        <w:spacing w:after="0" w:line="240" w:lineRule="auto"/>
      </w:pPr>
      <w:r>
        <w:separator/>
      </w:r>
    </w:p>
  </w:footnote>
  <w:footnote w:type="continuationSeparator" w:id="0">
    <w:p w:rsidR="007E7413" w:rsidRDefault="007E7413" w:rsidP="0001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AED"/>
    <w:multiLevelType w:val="hybridMultilevel"/>
    <w:tmpl w:val="3E8E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7D51"/>
    <w:multiLevelType w:val="hybridMultilevel"/>
    <w:tmpl w:val="BB505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AB0"/>
    <w:multiLevelType w:val="hybridMultilevel"/>
    <w:tmpl w:val="CA1C1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4436"/>
    <w:multiLevelType w:val="hybridMultilevel"/>
    <w:tmpl w:val="6E7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659D"/>
    <w:multiLevelType w:val="hybridMultilevel"/>
    <w:tmpl w:val="DFA0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1CE5"/>
    <w:multiLevelType w:val="hybridMultilevel"/>
    <w:tmpl w:val="A5D8F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5255A"/>
    <w:multiLevelType w:val="hybridMultilevel"/>
    <w:tmpl w:val="79902A46"/>
    <w:lvl w:ilvl="0" w:tplc="978C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37C2E"/>
    <w:multiLevelType w:val="hybridMultilevel"/>
    <w:tmpl w:val="AF049B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D5584D"/>
    <w:multiLevelType w:val="hybridMultilevel"/>
    <w:tmpl w:val="3E8E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A61C8"/>
    <w:multiLevelType w:val="hybridMultilevel"/>
    <w:tmpl w:val="121C2EE0"/>
    <w:lvl w:ilvl="0" w:tplc="91F84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AC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C5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0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0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6D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48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08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0F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8419A"/>
    <w:multiLevelType w:val="hybridMultilevel"/>
    <w:tmpl w:val="009CDDC2"/>
    <w:lvl w:ilvl="0" w:tplc="01CA0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2A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7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8D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0E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6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05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C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3B2B3A"/>
    <w:multiLevelType w:val="hybridMultilevel"/>
    <w:tmpl w:val="3E8E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05271"/>
    <w:multiLevelType w:val="hybridMultilevel"/>
    <w:tmpl w:val="CB04F89E"/>
    <w:lvl w:ilvl="0" w:tplc="F6E8E9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E6652"/>
    <w:multiLevelType w:val="hybridMultilevel"/>
    <w:tmpl w:val="46209000"/>
    <w:lvl w:ilvl="0" w:tplc="BDB097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2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A0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C4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2D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A9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8E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8A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C6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12C31"/>
    <w:multiLevelType w:val="hybridMultilevel"/>
    <w:tmpl w:val="D82C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635D0"/>
    <w:multiLevelType w:val="hybridMultilevel"/>
    <w:tmpl w:val="5D445C20"/>
    <w:lvl w:ilvl="0" w:tplc="9F7A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AA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E7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A0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E9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64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C9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23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0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000472"/>
    <w:multiLevelType w:val="hybridMultilevel"/>
    <w:tmpl w:val="593CCE0C"/>
    <w:lvl w:ilvl="0" w:tplc="978C4D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91A61"/>
    <w:multiLevelType w:val="hybridMultilevel"/>
    <w:tmpl w:val="4F1C64B4"/>
    <w:lvl w:ilvl="0" w:tplc="CB588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20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23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E8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4B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22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A1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A3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06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C1C3F"/>
    <w:multiLevelType w:val="hybridMultilevel"/>
    <w:tmpl w:val="AF049B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4E6513"/>
    <w:multiLevelType w:val="hybridMultilevel"/>
    <w:tmpl w:val="707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35B40"/>
    <w:multiLevelType w:val="hybridMultilevel"/>
    <w:tmpl w:val="04242422"/>
    <w:lvl w:ilvl="0" w:tplc="0AD274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C104C"/>
    <w:multiLevelType w:val="hybridMultilevel"/>
    <w:tmpl w:val="B436F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033D1"/>
    <w:multiLevelType w:val="hybridMultilevel"/>
    <w:tmpl w:val="6054D1E8"/>
    <w:lvl w:ilvl="0" w:tplc="62863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38D7"/>
    <w:multiLevelType w:val="hybridMultilevel"/>
    <w:tmpl w:val="1EBEA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219A7"/>
    <w:multiLevelType w:val="hybridMultilevel"/>
    <w:tmpl w:val="34D2A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7039C"/>
    <w:multiLevelType w:val="hybridMultilevel"/>
    <w:tmpl w:val="3716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85D06"/>
    <w:multiLevelType w:val="hybridMultilevel"/>
    <w:tmpl w:val="E5D8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244E6"/>
    <w:multiLevelType w:val="hybridMultilevel"/>
    <w:tmpl w:val="01D8FD66"/>
    <w:lvl w:ilvl="0" w:tplc="FA645C5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22F48"/>
    <w:multiLevelType w:val="hybridMultilevel"/>
    <w:tmpl w:val="A96E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27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16"/>
  </w:num>
  <w:num w:numId="11">
    <w:abstractNumId w:val="5"/>
  </w:num>
  <w:num w:numId="12">
    <w:abstractNumId w:val="19"/>
  </w:num>
  <w:num w:numId="13">
    <w:abstractNumId w:val="23"/>
  </w:num>
  <w:num w:numId="14">
    <w:abstractNumId w:val="15"/>
  </w:num>
  <w:num w:numId="15">
    <w:abstractNumId w:val="13"/>
  </w:num>
  <w:num w:numId="16">
    <w:abstractNumId w:val="17"/>
  </w:num>
  <w:num w:numId="17">
    <w:abstractNumId w:val="9"/>
  </w:num>
  <w:num w:numId="18">
    <w:abstractNumId w:val="2"/>
  </w:num>
  <w:num w:numId="19">
    <w:abstractNumId w:val="0"/>
  </w:num>
  <w:num w:numId="20">
    <w:abstractNumId w:val="20"/>
  </w:num>
  <w:num w:numId="21">
    <w:abstractNumId w:val="24"/>
  </w:num>
  <w:num w:numId="22">
    <w:abstractNumId w:val="26"/>
  </w:num>
  <w:num w:numId="23">
    <w:abstractNumId w:val="18"/>
  </w:num>
  <w:num w:numId="24">
    <w:abstractNumId w:val="7"/>
  </w:num>
  <w:num w:numId="25">
    <w:abstractNumId w:val="1"/>
  </w:num>
  <w:num w:numId="26">
    <w:abstractNumId w:val="21"/>
  </w:num>
  <w:num w:numId="27">
    <w:abstractNumId w:val="12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12"/>
    <w:rsid w:val="000156AB"/>
    <w:rsid w:val="0003775E"/>
    <w:rsid w:val="0004612D"/>
    <w:rsid w:val="00047F9D"/>
    <w:rsid w:val="00051D9A"/>
    <w:rsid w:val="00077599"/>
    <w:rsid w:val="00090679"/>
    <w:rsid w:val="000B5BA8"/>
    <w:rsid w:val="001043AB"/>
    <w:rsid w:val="00115EAE"/>
    <w:rsid w:val="0011682F"/>
    <w:rsid w:val="001257FB"/>
    <w:rsid w:val="00161725"/>
    <w:rsid w:val="0016408D"/>
    <w:rsid w:val="001647EB"/>
    <w:rsid w:val="001835C2"/>
    <w:rsid w:val="001944A1"/>
    <w:rsid w:val="001C1E24"/>
    <w:rsid w:val="001C1F03"/>
    <w:rsid w:val="001D0DED"/>
    <w:rsid w:val="001E3DBE"/>
    <w:rsid w:val="001F6D9B"/>
    <w:rsid w:val="00204881"/>
    <w:rsid w:val="002072D8"/>
    <w:rsid w:val="00226CA8"/>
    <w:rsid w:val="00247F22"/>
    <w:rsid w:val="00270465"/>
    <w:rsid w:val="002725A6"/>
    <w:rsid w:val="00283E55"/>
    <w:rsid w:val="002B1825"/>
    <w:rsid w:val="002B229A"/>
    <w:rsid w:val="002C173E"/>
    <w:rsid w:val="002C224B"/>
    <w:rsid w:val="002C3203"/>
    <w:rsid w:val="002D2E95"/>
    <w:rsid w:val="002D673F"/>
    <w:rsid w:val="002E069F"/>
    <w:rsid w:val="002E0770"/>
    <w:rsid w:val="002E6BAA"/>
    <w:rsid w:val="00320868"/>
    <w:rsid w:val="00326E59"/>
    <w:rsid w:val="003711B1"/>
    <w:rsid w:val="00385974"/>
    <w:rsid w:val="00387967"/>
    <w:rsid w:val="0039097B"/>
    <w:rsid w:val="00390A81"/>
    <w:rsid w:val="00392DE4"/>
    <w:rsid w:val="003A758A"/>
    <w:rsid w:val="003B554C"/>
    <w:rsid w:val="003C5805"/>
    <w:rsid w:val="003D5CE2"/>
    <w:rsid w:val="00401F24"/>
    <w:rsid w:val="00405E50"/>
    <w:rsid w:val="004133F0"/>
    <w:rsid w:val="00414AF9"/>
    <w:rsid w:val="00423F81"/>
    <w:rsid w:val="004259B1"/>
    <w:rsid w:val="00432B4B"/>
    <w:rsid w:val="00433FBF"/>
    <w:rsid w:val="00435071"/>
    <w:rsid w:val="00436980"/>
    <w:rsid w:val="00472816"/>
    <w:rsid w:val="004818D7"/>
    <w:rsid w:val="00482459"/>
    <w:rsid w:val="004A54B0"/>
    <w:rsid w:val="004B2ECB"/>
    <w:rsid w:val="004D4C05"/>
    <w:rsid w:val="004E4C4C"/>
    <w:rsid w:val="004F4916"/>
    <w:rsid w:val="00524686"/>
    <w:rsid w:val="00531033"/>
    <w:rsid w:val="00542D67"/>
    <w:rsid w:val="00546A36"/>
    <w:rsid w:val="00550427"/>
    <w:rsid w:val="00555EBF"/>
    <w:rsid w:val="00573E43"/>
    <w:rsid w:val="0057744E"/>
    <w:rsid w:val="005B07E9"/>
    <w:rsid w:val="005B2FA4"/>
    <w:rsid w:val="005C0B40"/>
    <w:rsid w:val="005C72C4"/>
    <w:rsid w:val="00602721"/>
    <w:rsid w:val="0060754E"/>
    <w:rsid w:val="00613E53"/>
    <w:rsid w:val="00625374"/>
    <w:rsid w:val="006347DE"/>
    <w:rsid w:val="00644ED3"/>
    <w:rsid w:val="00645BC4"/>
    <w:rsid w:val="006676FD"/>
    <w:rsid w:val="0066790A"/>
    <w:rsid w:val="00680495"/>
    <w:rsid w:val="006804AE"/>
    <w:rsid w:val="00695851"/>
    <w:rsid w:val="00696169"/>
    <w:rsid w:val="006974DB"/>
    <w:rsid w:val="006A57CD"/>
    <w:rsid w:val="006A6C26"/>
    <w:rsid w:val="006A6E37"/>
    <w:rsid w:val="006B5FF1"/>
    <w:rsid w:val="006D0582"/>
    <w:rsid w:val="00700D40"/>
    <w:rsid w:val="00704E7F"/>
    <w:rsid w:val="00706893"/>
    <w:rsid w:val="007137AF"/>
    <w:rsid w:val="00713D78"/>
    <w:rsid w:val="00730BD6"/>
    <w:rsid w:val="00750E5F"/>
    <w:rsid w:val="00754FBF"/>
    <w:rsid w:val="00755E5C"/>
    <w:rsid w:val="00763A12"/>
    <w:rsid w:val="00763CF3"/>
    <w:rsid w:val="0077546E"/>
    <w:rsid w:val="00775B0C"/>
    <w:rsid w:val="00776FD9"/>
    <w:rsid w:val="00787DF9"/>
    <w:rsid w:val="007933E5"/>
    <w:rsid w:val="007970A9"/>
    <w:rsid w:val="007A0D89"/>
    <w:rsid w:val="007A5C70"/>
    <w:rsid w:val="007D41BE"/>
    <w:rsid w:val="007D4A26"/>
    <w:rsid w:val="007E7413"/>
    <w:rsid w:val="007E7B46"/>
    <w:rsid w:val="007F06C6"/>
    <w:rsid w:val="007F09E7"/>
    <w:rsid w:val="007F4338"/>
    <w:rsid w:val="008117B9"/>
    <w:rsid w:val="00832B8C"/>
    <w:rsid w:val="008556F9"/>
    <w:rsid w:val="008574A9"/>
    <w:rsid w:val="00871B55"/>
    <w:rsid w:val="008847DA"/>
    <w:rsid w:val="008A0C9F"/>
    <w:rsid w:val="008A4838"/>
    <w:rsid w:val="008A52C5"/>
    <w:rsid w:val="008B5FFD"/>
    <w:rsid w:val="008B7258"/>
    <w:rsid w:val="008D0222"/>
    <w:rsid w:val="008D2708"/>
    <w:rsid w:val="008D3175"/>
    <w:rsid w:val="008D7697"/>
    <w:rsid w:val="008F006D"/>
    <w:rsid w:val="009011FC"/>
    <w:rsid w:val="00905479"/>
    <w:rsid w:val="00910D38"/>
    <w:rsid w:val="009264C8"/>
    <w:rsid w:val="00927E5D"/>
    <w:rsid w:val="00931AE4"/>
    <w:rsid w:val="00960640"/>
    <w:rsid w:val="00965F5F"/>
    <w:rsid w:val="009744B6"/>
    <w:rsid w:val="00986AF7"/>
    <w:rsid w:val="00993EAC"/>
    <w:rsid w:val="009B2ADB"/>
    <w:rsid w:val="009B7EFA"/>
    <w:rsid w:val="009E0E45"/>
    <w:rsid w:val="009E2AE7"/>
    <w:rsid w:val="009E3B56"/>
    <w:rsid w:val="009F4A9C"/>
    <w:rsid w:val="009F5263"/>
    <w:rsid w:val="009F6712"/>
    <w:rsid w:val="00A01595"/>
    <w:rsid w:val="00A03999"/>
    <w:rsid w:val="00A12C00"/>
    <w:rsid w:val="00A23EAC"/>
    <w:rsid w:val="00A33B09"/>
    <w:rsid w:val="00A33D98"/>
    <w:rsid w:val="00A46E8C"/>
    <w:rsid w:val="00A75961"/>
    <w:rsid w:val="00A9244F"/>
    <w:rsid w:val="00A955E2"/>
    <w:rsid w:val="00AB3F6B"/>
    <w:rsid w:val="00AC396F"/>
    <w:rsid w:val="00AC4C28"/>
    <w:rsid w:val="00AC77C6"/>
    <w:rsid w:val="00AD150E"/>
    <w:rsid w:val="00AE1FAA"/>
    <w:rsid w:val="00AF066A"/>
    <w:rsid w:val="00B00155"/>
    <w:rsid w:val="00B00E75"/>
    <w:rsid w:val="00B0250A"/>
    <w:rsid w:val="00B277EA"/>
    <w:rsid w:val="00B32574"/>
    <w:rsid w:val="00B358C0"/>
    <w:rsid w:val="00B369FC"/>
    <w:rsid w:val="00B51D07"/>
    <w:rsid w:val="00B52C3D"/>
    <w:rsid w:val="00B54184"/>
    <w:rsid w:val="00B54862"/>
    <w:rsid w:val="00B63D6B"/>
    <w:rsid w:val="00B63F0C"/>
    <w:rsid w:val="00B674D2"/>
    <w:rsid w:val="00BD2397"/>
    <w:rsid w:val="00BE0E37"/>
    <w:rsid w:val="00BE2F06"/>
    <w:rsid w:val="00BF3F74"/>
    <w:rsid w:val="00C02C46"/>
    <w:rsid w:val="00C066C2"/>
    <w:rsid w:val="00C103AB"/>
    <w:rsid w:val="00C1155D"/>
    <w:rsid w:val="00C154A8"/>
    <w:rsid w:val="00C45FD2"/>
    <w:rsid w:val="00C47455"/>
    <w:rsid w:val="00C720A5"/>
    <w:rsid w:val="00C852B1"/>
    <w:rsid w:val="00C92EA9"/>
    <w:rsid w:val="00C962B1"/>
    <w:rsid w:val="00C9674A"/>
    <w:rsid w:val="00CB36BC"/>
    <w:rsid w:val="00CC01C0"/>
    <w:rsid w:val="00CC4630"/>
    <w:rsid w:val="00CD0344"/>
    <w:rsid w:val="00CD10BD"/>
    <w:rsid w:val="00CE2F59"/>
    <w:rsid w:val="00CE7B00"/>
    <w:rsid w:val="00D00CDA"/>
    <w:rsid w:val="00D15131"/>
    <w:rsid w:val="00D304FD"/>
    <w:rsid w:val="00D37058"/>
    <w:rsid w:val="00D42B32"/>
    <w:rsid w:val="00D77A76"/>
    <w:rsid w:val="00D85B15"/>
    <w:rsid w:val="00D96CC5"/>
    <w:rsid w:val="00DE6F9F"/>
    <w:rsid w:val="00DF64B6"/>
    <w:rsid w:val="00DF7AD0"/>
    <w:rsid w:val="00E04A51"/>
    <w:rsid w:val="00E10AD8"/>
    <w:rsid w:val="00E50A07"/>
    <w:rsid w:val="00E51F91"/>
    <w:rsid w:val="00E661AD"/>
    <w:rsid w:val="00E742D8"/>
    <w:rsid w:val="00E7712B"/>
    <w:rsid w:val="00E7731C"/>
    <w:rsid w:val="00E84DCC"/>
    <w:rsid w:val="00E93D5E"/>
    <w:rsid w:val="00EA08B5"/>
    <w:rsid w:val="00EB2315"/>
    <w:rsid w:val="00EB4D53"/>
    <w:rsid w:val="00EC3818"/>
    <w:rsid w:val="00ED60BE"/>
    <w:rsid w:val="00EE718C"/>
    <w:rsid w:val="00EF2343"/>
    <w:rsid w:val="00F00260"/>
    <w:rsid w:val="00F07B2E"/>
    <w:rsid w:val="00F34414"/>
    <w:rsid w:val="00F416EA"/>
    <w:rsid w:val="00F75EC8"/>
    <w:rsid w:val="00F7648E"/>
    <w:rsid w:val="00F771CE"/>
    <w:rsid w:val="00F864A5"/>
    <w:rsid w:val="00F948F5"/>
    <w:rsid w:val="00FA04E9"/>
    <w:rsid w:val="00FA3AAB"/>
    <w:rsid w:val="00FB6F9E"/>
    <w:rsid w:val="00FC0453"/>
    <w:rsid w:val="00FD111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1D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ykietadokumentu">
    <w:name w:val="Etykieta dokumentu"/>
    <w:next w:val="Normalny"/>
    <w:rsid w:val="00763A1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n-US"/>
    </w:rPr>
  </w:style>
  <w:style w:type="paragraph" w:customStyle="1" w:styleId="Nagwekwiadomoci-pierwszy">
    <w:name w:val="Nagłówek wiadomości - pierwszy"/>
    <w:basedOn w:val="Normalny"/>
    <w:rsid w:val="00763A12"/>
    <w:pPr>
      <w:keepLines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Nagwekwiadomoci-etykieta">
    <w:name w:val="Nagłówek wiadomości - etykieta"/>
    <w:rsid w:val="00763A12"/>
    <w:rPr>
      <w:b/>
      <w:bCs w:val="0"/>
      <w:sz w:val="18"/>
      <w:lang w:bidi="ar-SA"/>
    </w:rPr>
  </w:style>
  <w:style w:type="paragraph" w:styleId="Akapitzlist">
    <w:name w:val="List Paragraph"/>
    <w:basedOn w:val="Normalny"/>
    <w:uiPriority w:val="34"/>
    <w:qFormat/>
    <w:rsid w:val="00BE2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6AB"/>
  </w:style>
  <w:style w:type="paragraph" w:styleId="Stopka">
    <w:name w:val="footer"/>
    <w:basedOn w:val="Normalny"/>
    <w:link w:val="StopkaZnak"/>
    <w:uiPriority w:val="99"/>
    <w:unhideWhenUsed/>
    <w:rsid w:val="0001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6AB"/>
  </w:style>
  <w:style w:type="character" w:customStyle="1" w:styleId="Nagwek3Znak">
    <w:name w:val="Nagłówek 3 Znak"/>
    <w:basedOn w:val="Domylnaczcionkaakapitu"/>
    <w:link w:val="Nagwek3"/>
    <w:rsid w:val="00051D9A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704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133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6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1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155D"/>
    <w:rPr>
      <w:rFonts w:ascii="Courier New" w:eastAsia="Times New Roman" w:hAnsi="Courier New" w:cs="Courier New"/>
      <w:sz w:val="20"/>
      <w:szCs w:val="20"/>
    </w:rPr>
  </w:style>
  <w:style w:type="character" w:customStyle="1" w:styleId="highlight-disabled">
    <w:name w:val="highlight-disabled"/>
    <w:basedOn w:val="Domylnaczcionkaakapitu"/>
    <w:rsid w:val="00247F22"/>
  </w:style>
  <w:style w:type="character" w:customStyle="1" w:styleId="tlid-translation">
    <w:name w:val="tlid-translation"/>
    <w:basedOn w:val="Domylnaczcionkaakapitu"/>
    <w:rsid w:val="0077546E"/>
  </w:style>
  <w:style w:type="character" w:styleId="Uwydatnienie">
    <w:name w:val="Emphasis"/>
    <w:basedOn w:val="Domylnaczcionkaakapitu"/>
    <w:uiPriority w:val="20"/>
    <w:qFormat/>
    <w:rsid w:val="0020488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AA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E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E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E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1D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ykietadokumentu">
    <w:name w:val="Etykieta dokumentu"/>
    <w:next w:val="Normalny"/>
    <w:rsid w:val="00763A1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n-US"/>
    </w:rPr>
  </w:style>
  <w:style w:type="paragraph" w:customStyle="1" w:styleId="Nagwekwiadomoci-pierwszy">
    <w:name w:val="Nagłówek wiadomości - pierwszy"/>
    <w:basedOn w:val="Normalny"/>
    <w:rsid w:val="00763A12"/>
    <w:pPr>
      <w:keepLines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Nagwekwiadomoci-etykieta">
    <w:name w:val="Nagłówek wiadomości - etykieta"/>
    <w:rsid w:val="00763A12"/>
    <w:rPr>
      <w:b/>
      <w:bCs w:val="0"/>
      <w:sz w:val="18"/>
      <w:lang w:bidi="ar-SA"/>
    </w:rPr>
  </w:style>
  <w:style w:type="paragraph" w:styleId="Akapitzlist">
    <w:name w:val="List Paragraph"/>
    <w:basedOn w:val="Normalny"/>
    <w:uiPriority w:val="34"/>
    <w:qFormat/>
    <w:rsid w:val="00BE2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6AB"/>
  </w:style>
  <w:style w:type="paragraph" w:styleId="Stopka">
    <w:name w:val="footer"/>
    <w:basedOn w:val="Normalny"/>
    <w:link w:val="StopkaZnak"/>
    <w:uiPriority w:val="99"/>
    <w:unhideWhenUsed/>
    <w:rsid w:val="0001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6AB"/>
  </w:style>
  <w:style w:type="character" w:customStyle="1" w:styleId="Nagwek3Znak">
    <w:name w:val="Nagłówek 3 Znak"/>
    <w:basedOn w:val="Domylnaczcionkaakapitu"/>
    <w:link w:val="Nagwek3"/>
    <w:rsid w:val="00051D9A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704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133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6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1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155D"/>
    <w:rPr>
      <w:rFonts w:ascii="Courier New" w:eastAsia="Times New Roman" w:hAnsi="Courier New" w:cs="Courier New"/>
      <w:sz w:val="20"/>
      <w:szCs w:val="20"/>
    </w:rPr>
  </w:style>
  <w:style w:type="character" w:customStyle="1" w:styleId="highlight-disabled">
    <w:name w:val="highlight-disabled"/>
    <w:basedOn w:val="Domylnaczcionkaakapitu"/>
    <w:rsid w:val="00247F22"/>
  </w:style>
  <w:style w:type="character" w:customStyle="1" w:styleId="tlid-translation">
    <w:name w:val="tlid-translation"/>
    <w:basedOn w:val="Domylnaczcionkaakapitu"/>
    <w:rsid w:val="0077546E"/>
  </w:style>
  <w:style w:type="character" w:styleId="Uwydatnienie">
    <w:name w:val="Emphasis"/>
    <w:basedOn w:val="Domylnaczcionkaakapitu"/>
    <w:uiPriority w:val="20"/>
    <w:qFormat/>
    <w:rsid w:val="0020488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AA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E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E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7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4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3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6E9C-B1C1-48B3-8B15-F84A6705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ablusiewicz</dc:creator>
  <cp:lastModifiedBy>Świderska Małgorzata</cp:lastModifiedBy>
  <cp:revision>5</cp:revision>
  <cp:lastPrinted>2019-04-24T09:48:00Z</cp:lastPrinted>
  <dcterms:created xsi:type="dcterms:W3CDTF">2021-03-18T14:41:00Z</dcterms:created>
  <dcterms:modified xsi:type="dcterms:W3CDTF">2021-03-18T14:48:00Z</dcterms:modified>
</cp:coreProperties>
</file>